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Patient Registration, Identification and Admission</w:t>
      </w:r>
    </w:p>
    <w:p>
      <w:r>
        <w:t>«Hospital Name» — SOP-AAC.2.a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SOP-AAC.2.a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registers and admits every patient -- including an unidentified patient -- through a consistent, documented process, so every patient is uniquely and correctly identified, a non-emergency admission is accepted only when the organisation can actually provide the needed service, and an emergency admission is never delayed for that decision.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An unconscious patient with no ID is brought in by police at 2 a.m. This SOP is what gets them registered immediately under a temporary descriptive identifier and treated without delay -- not left waiting while someone tries to work out who they are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two patients sharing one loosely-kept record is how the wrong result ends up in the wrong file, and a patient who cannot state their name must never be left unregistered and untreated while someone tries to identify them first.</w:t>
            </w:r>
          </w:p>
        </w:tc>
      </w:tr>
    </w:tbl>
    <w:p/>
    <w:p>
      <w:r>
        <w:t>To define how «Hospital Name» registers and admits every patient, including an unidentified patient, ensuring unique identification and that emergency care is never delayed for an acceptance decision.</w:t>
      </w:r>
    </w:p>
    <w:p>
      <w:pPr>
        <w:pStyle w:val="Heading1"/>
      </w:pPr>
      <w:r>
        <w:t>2. Scope</w:t>
      </w:r>
    </w:p>
    <w:p>
      <w:r>
        <w:t>so every registration and admission point -- not just the front desk -- follows the same identification and acceptance rules.</w:t>
      </w:r>
    </w:p>
    <w:p>
      <w:r>
        <w:t>Applies to every registration and admission point -- front office, OPD registration, emergency, day-care and in-patient admission desks -- and every patient presenting, identified or not.</w:t>
      </w:r>
    </w:p>
    <w:p>
      <w:pPr>
        <w:pStyle w:val="Heading1"/>
      </w:pPr>
      <w:r>
        <w:t>3. Responsibility</w:t>
      </w:r>
    </w:p>
    <w:p>
      <w:r>
        <w:t>an unverified identity or a missed scope check at registration becomes a patient-safety problem later, not a paperwork one now.</w:t>
      </w:r>
    </w:p>
    <w:p>
      <w:r>
        <w:rPr>
          <w:b/>
        </w:rPr>
        <w:t xml:space="preserve">Registration Staff: </w:t>
      </w:r>
      <w:r>
        <w:t>Verify patient identity using at least two identifiers, register every patient including unidentified ones, and check the scope-of-service register before accepting a non-emergency patient.</w:t>
      </w:r>
    </w:p>
    <w:p>
      <w:r>
        <w:rPr>
          <w:b/>
        </w:rPr>
        <w:t xml:space="preserve">Treating Clinician: </w:t>
      </w:r>
      <w:r>
        <w:t>Authorises every admission, begins emergency treatment before any acceptance decision, and decides acceptance only after stabilisation.</w:t>
      </w:r>
    </w:p>
    <w:p>
      <w:r>
        <w:rPr>
          <w:b/>
        </w:rPr>
        <w:t xml:space="preserve">Medical Records: </w:t>
      </w:r>
      <w:r>
        <w:t>Maintains the unique-number master index, runs the periodic duplicate-number check, and reconciles a temporary unidentified-patient entry once identity is confirmed.</w:t>
      </w:r>
    </w:p>
    <w:p>
      <w:pPr>
        <w:pStyle w:val="Heading1"/>
      </w:pPr>
      <w:r>
        <w:t>4. What to do</w:t>
      </w:r>
    </w:p>
    <w:p>
      <w:pPr>
        <w:pStyle w:val="Heading2"/>
      </w:pPr>
      <w:r>
        <w:t>Register the patient, including an unidentified patient</w:t>
      </w:r>
    </w:p>
    <w:p>
      <w:r>
        <w:t>Two patients sharing one loosely-kept record is how the wrong result ends up in the wrong file, and a patient who cannot state their name cannot simply be left unregistered until someone identifies them.</w:t>
      </w:r>
    </w:p>
    <w:p>
      <w:r>
        <w:t>Identity is verified using a government photo ID where available, or at least two identifiers stated by the patient or an accompanying person (name and date of birth, for example).</w:t>
      </w:r>
    </w:p>
    <w:p>
      <w:r>
        <w:t>For an unidentified patient -- found unconscious, no ID, brought in by police or a bystander -- registration proceeds using a temporary descriptive identifier (for example 'Unknown Male, approx. 40 yrs, brought by police'). Registration is never withheld or delayed waiting for identity to be established.</w:t>
      </w:r>
    </w:p>
    <w:p>
      <w:r>
        <w:t>Once the patient's real identity becomes known, Medical Records updates the record and cross-references it to the unique number already issued, rather than issuing a second number.</w:t>
      </w:r>
    </w:p>
    <w:p>
      <w:r>
        <w:t>General consent for treatment is obtained at the point of entry, and its scope is explained to the patient or family before proceeding.</w:t>
      </w:r>
    </w:p>
    <w:p>
      <w:pPr>
        <w:pStyle w:val="Heading2"/>
      </w:pPr>
      <w:r>
        <w:t>Assign and protect the unique identification number</w:t>
      </w:r>
    </w:p>
    <w:p>
      <w:r>
        <w:t>A patient who already has a hospital record but is issued a second number on a later visit ends up with their history split across two files -- exactly the kind of gap that produces a wrong-result or wrong-treatment error later.</w:t>
      </w:r>
    </w:p>
    <w:p>
      <w:r>
        <w:t>At the end of a patient's first-ever registration, one unique identification number is generated.</w:t>
      </w:r>
    </w:p>
    <w:p>
      <w:r>
        <w:t>Before issuing a new number, the master index is searched by name, date of birth and other identifiers to confirm the patient does not already have one.</w:t>
      </w:r>
    </w:p>
    <w:p>
      <w:r>
        <w:t>A later visit may create an additional visit/encounter number, but it is linked to the existing unique number, never a replacement for it.</w:t>
      </w:r>
    </w:p>
    <w:p>
      <w:r>
        <w:t>Medical Records runs a duplicate-number check periodically and logs the result.</w:t>
      </w:r>
    </w:p>
    <w:p>
      <w:pPr>
        <w:pStyle w:val="Heading2"/>
      </w:pPr>
      <w:r>
        <w:t>Confirm the service can be provided before accepting a non-emergency patient</w:t>
      </w:r>
    </w:p>
    <w:p>
      <w:r>
        <w:t>Accepting a non-emergency patient the organisation cannot actually treat just moves the problem downstream to a worse moment -- checking capability at the door is what prevents that.</w:t>
      </w:r>
    </w:p>
    <w:p>
      <w:r>
        <w:t>Before accepting a non-emergency patient, registration staff check the current department scope-of-service register to confirm the required service is available.</w:t>
      </w:r>
    </w:p>
    <w:p>
      <w:r>
        <w:t>If the required service is not available, the patient is not accepted; the presentation, the reason, and the advice or referral given are logged.</w:t>
      </w:r>
    </w:p>
    <w:p>
      <w:pPr>
        <w:pStyle w:val="Heading2"/>
      </w:pPr>
      <w:r>
        <w:t>Never delay emergency care for the acceptance decision</w:t>
      </w:r>
    </w:p>
    <w:p>
      <w:r>
        <w:t>Checking whether the hospital 'can accept' an emergency patient before starting treatment gets the sequence backwards -- stabilise first, decide after, every time.</w:t>
      </w:r>
    </w:p>
    <w:p>
      <w:r>
        <w:t>For an emergency presentation, life-saving treatment begins immediately; the acceptance decision is made only after the patient is stabilised, never before.</w:t>
      </w:r>
    </w:p>
    <w:p>
      <w:r>
        <w:t>If, after stabilisation, the hospital cannot continue care, the patient is transferred per the hospital's transfer and referral procedure.</w:t>
      </w:r>
    </w:p>
    <w:p>
      <w:pPr>
        <w:pStyle w:val="Heading1"/>
      </w:pPr>
      <w:r>
        <w:t>5. Records</w:t>
      </w:r>
    </w:p>
    <w:p>
      <w:r>
        <w:t>This SOP produces and maintains Records 1-4 (see the AAC.2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Access, Registration, Admission and Continuity of Care (AAC.2)</w:t>
      </w:r>
    </w:p>
    <w:p>
      <w:pPr>
        <w:pStyle w:val="ListParagraph"/>
      </w:pPr>
      <w:r>
        <w:t>SOP — Definition of Scope of Healthcare Services per Department (AAC.1.c)</w:t>
      </w:r>
    </w:p>
    <w:p>
      <w:pPr>
        <w:pStyle w:val="ListParagraph"/>
      </w:pPr>
      <w:r>
        <w:t>SOP — Transfer-In, Transfer-Out and Referral of Patients (AAC.2.f)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Medical Superintendent, and sooner if a registration error, duplicate-number case, or non-acceptance complaint recurs.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Register the patient, including an unidentified patient — AAC.2.a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The Joint Commission. (2025). </w:t>
      </w:r>
      <w:hyperlink r:id="rId9">
        <w:r>
          <w:rPr>
            <w:color w:val="0563C1"/>
            <w:u w:val="single"/>
          </w:rPr>
          <w:t>National Patient Safety Goals, Goal 1 — use at least two patient identifiers (NPSG.01.01.01)</w:t>
        </w:r>
      </w:hyperlink>
      <w:r>
        <w:t>. Referenced as an external benchmark for patient-identification practice; SHCO accreditation does not itself require Joint Commission accreditation.</w:t>
      </w:r>
    </w:p>
    <w:p>
      <w:pPr>
        <w:pStyle w:val="Heading2"/>
      </w:pPr>
      <w:r>
        <w:t>Assign and protect the unique identification number — AAC.2.a</w:t>
      </w:r>
    </w:p>
    <w:p>
      <w:pPr>
        <w:pStyle w:val="Heading2"/>
      </w:pPr>
      <w:r>
        <w:t>Confirm the service can be provided before accepting a non-emergency patient — AAC.2.a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scope-of-service register checked here is maintained under AAC.1.c; this step covers the registration-desk check, not how the register itself is built or approved.</w:t>
      </w:r>
    </w:p>
    <w:p>
      <w:pPr>
        <w:pStyle w:val="Heading2"/>
      </w:pPr>
      <w:r>
        <w:t>Never delay emergency care for the acceptance decision — AAC.2.a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A transfer arising from this step follows the Transfer-In, Transfer-Out and Referral SOP (AAC.2.f).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</w:pPr>
      <w:r>
        <w:t xml:space="preserve">• </w:t>
      </w:r>
      <w:r>
        <w:t xml:space="preserve">The Joint Commission. (2025). </w:t>
      </w:r>
      <w:hyperlink r:id="rId9">
        <w:r>
          <w:rPr>
            <w:color w:val="0563C1"/>
            <w:u w:val="single"/>
          </w:rPr>
          <w:t>National Patient Safety Goals, Goal 1 — use at least two patient identifiers (NPSG.01.01.01)</w:t>
        </w:r>
      </w:hyperlink>
      <w:r>
        <w:t>. Referenced as an external benchmark for patient-identification practice; SHCO accreditation does not itself require Joint Commission accreditation.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talassets.jointcommission.org/api/public/content/94389f1cc45940fd90d7954147cac4c4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