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Standard Operating Procedure</w:t>
      </w:r>
    </w:p>
    <w:p>
      <w:r>
        <w:t>Laboratory Specimen Handling, Turnaround Time and Critical Result Reporting</w:t>
      </w:r>
    </w:p>
    <w:p>
      <w:r>
        <w:t>«Hospital Name» — SOP-AAC.4.c — Version 1.0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SOP No.</w:t>
            </w:r>
          </w:p>
        </w:tc>
        <w:tc>
          <w:tcPr>
            <w:tcW w:type="dxa" w:w="2160"/>
          </w:tcPr>
          <w:p>
            <w:r>
              <w:t>SOP-AAC.4.c</w:t>
            </w:r>
          </w:p>
        </w:tc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Effective Date</w:t>
            </w:r>
          </w:p>
        </w:tc>
        <w:tc>
          <w:tcPr>
            <w:tcW w:type="dxa" w:w="2160"/>
          </w:tcPr>
          <w:p>
            <w:r>
              <w:t>«________»</w:t>
            </w:r>
          </w:p>
        </w:tc>
        <w:tc>
          <w:tcPr>
            <w:tcW w:type="dxa" w:w="2160"/>
          </w:tcPr>
          <w:p>
            <w:r>
              <w:t>Review Frequency</w:t>
            </w:r>
          </w:p>
        </w:tc>
        <w:tc>
          <w:tcPr>
            <w:tcW w:type="dxa" w:w="2160"/>
          </w:tcPr>
          <w:p>
            <w:r>
              <w:t>Annual, or on change</w:t>
            </w:r>
          </w:p>
        </w:tc>
      </w:tr>
    </w:tbl>
    <w:p/>
    <w:p>
      <w:pPr>
        <w:pStyle w:val="Heading1"/>
      </w:pPr>
      <w:r>
        <w:t>1. Purpose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This SOP sets out how «Hospital Name» handles laboratory specimens from requisition through to disposal -- including rejecting an unsuitable specimen rather than testing it -- ensures results are available within a defined time frame, and ensures critical results reach the treating clinician at the earliest, with escalation if the first attempt fails.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critically abnormal lab result comes back and the first call to the treating clinician goes unanswered. This SOP is what gets it escalated to the next person on the on-call list immediately, with every attempt logged -- not sitting in a report queue until someone happens to check it.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We do this because a haemolysed, clotted or mislabelled specimen tested anyway can produce a result that looks normal but is wrong, and a critical result that isn't escalated when the first call fails is a patient-safety failure waiting to happen.</w:t>
            </w:r>
          </w:p>
        </w:tc>
      </w:tr>
    </w:tbl>
    <w:p/>
    <w:p>
      <w:r>
        <w:t>To define how «Hospital Name» handles laboratory specimens, rejects unsuitable ones, meets a defined turnaround time, and communicates critical results with escalation if the first attempt fails.</w:t>
      </w:r>
    </w:p>
    <w:p>
      <w:pPr>
        <w:pStyle w:val="Heading1"/>
      </w:pPr>
      <w:r>
        <w:t>2. Scope</w:t>
      </w:r>
    </w:p>
    <w:p>
      <w:r>
        <w:t>so laboratory staff, sample-collection staff and every ordering clinician handle a specimen the same way from requisition to result.</w:t>
      </w:r>
    </w:p>
    <w:p>
      <w:r>
        <w:t>Applies to laboratory staff, phlebotomy/sample-collection staff, and every clinician who orders a laboratory test.</w:t>
      </w:r>
    </w:p>
    <w:p>
      <w:pPr>
        <w:pStyle w:val="Heading1"/>
      </w:pPr>
      <w:r>
        <w:t>3. Responsibility</w:t>
      </w:r>
    </w:p>
    <w:p>
      <w:r>
        <w:t>a specimen mishandled or a critical result sitting unescalated is a mistake that reaches the patient, not just the paperwork.</w:t>
      </w:r>
    </w:p>
    <w:p>
      <w:r>
        <w:rPr>
          <w:b/>
        </w:rPr>
        <w:t xml:space="preserve">Laboratory In-Charge: </w:t>
      </w:r>
      <w:r>
        <w:t>Maintains the written specimen-handling and specimen-rejection guidance and the critical-value list, and monitors turnaround time.</w:t>
      </w:r>
    </w:p>
    <w:p>
      <w:r>
        <w:rPr>
          <w:b/>
        </w:rPr>
        <w:t xml:space="preserve">Collecting Staff: </w:t>
      </w:r>
      <w:r>
        <w:t>Follow the written guidance for requisition, collection, identification, handling and transport of every specimen, and recollect a rejected specimen.</w:t>
      </w:r>
    </w:p>
    <w:p>
      <w:pPr>
        <w:pStyle w:val="Heading1"/>
      </w:pPr>
      <w:r>
        <w:t>4. What to do</w:t>
      </w:r>
    </w:p>
    <w:p>
      <w:pPr>
        <w:pStyle w:val="Heading2"/>
      </w:pPr>
      <w:r>
        <w:t>Requisition, collection and handling</w:t>
      </w:r>
    </w:p>
    <w:p>
      <w:r>
        <w:t>A specimen that is mislabelled or mishandled between collection and testing can produce a result for the wrong patient -- written guidance at every step is what closes that gap.</w:t>
      </w:r>
    </w:p>
    <w:p>
      <w:r>
        <w:t>Every specimen is collected against a documented requisition, labelled with the patient's unique identifier at the bedside or point of collection, and transported to the laboratory per written guidance on handling and timing.</w:t>
      </w:r>
    </w:p>
    <w:p>
      <w:r>
        <w:t>Specimens are disposed of per the organisation's biomedical waste procedure once testing is complete.</w:t>
      </w:r>
    </w:p>
    <w:p>
      <w:pPr>
        <w:pStyle w:val="Heading2"/>
      </w:pPr>
      <w:r>
        <w:t>Reject an unsuitable specimen rather than testing it</w:t>
      </w:r>
    </w:p>
    <w:p>
      <w:r>
        <w:t>A haemolysed, clotted, mislabelled or insufficient specimen can produce a result that looks normal but is wrong -- testing it anyway, to avoid the delay of a redraw, trades a known problem for an invisible one.</w:t>
      </w:r>
    </w:p>
    <w:p>
      <w:r>
        <w:t>A specimen is rejected, not tested, if it is mislabelled, unlabelled, clotted or haemolysed where this affects the test, of insufficient quantity, or received outside the stability window for that test.</w:t>
      </w:r>
    </w:p>
    <w:p>
      <w:r>
        <w:t>Every rejection is logged with the reason, and collecting staff are notified immediately to recollect.</w:t>
      </w:r>
    </w:p>
    <w:p>
      <w:r>
        <w:t>For a medico-legal or forensic specimen, chain-of-custody documentation -- who collected, who transported, who received, with signatures and times at each handoff -- accompanies the specimen in addition to normal handling.</w:t>
      </w:r>
    </w:p>
    <w:p>
      <w:pPr>
        <w:pStyle w:val="Heading2"/>
      </w:pPr>
      <w:r>
        <w:t>Turnaround time</w:t>
      </w:r>
    </w:p>
    <w:p>
      <w:r>
        <w:t>A result that takes three days to reach the ward for a test the clinician needed same-day isn't actually usable -- a defined turnaround time, tracked test by test, is what makes the lab result clinically useful.</w:t>
      </w:r>
    </w:p>
    <w:p>
      <w:r>
        <w:t>Each test category has a defined turnaround time, from specimen receipt to result availability, with a shorter defined time for tests ordered as STAT/urgent.</w:t>
      </w:r>
    </w:p>
    <w:p>
      <w:r>
        <w:t>Turnaround time is tracked and reviewed against the defined target.</w:t>
      </w:r>
    </w:p>
    <w:p>
      <w:pPr>
        <w:pStyle w:val="Heading2"/>
      </w:pPr>
      <w:r>
        <w:t>Critical results, with escalation if the first attempt fails</w:t>
      </w:r>
    </w:p>
    <w:p>
      <w:r>
        <w:t>A critical result sitting in a report queue until someone happens to check it is a patient-safety failure waiting to happen -- and a single unanswered call cannot be where the process stops either.</w:t>
      </w:r>
    </w:p>
    <w:p>
      <w:r>
        <w:t>Critical values are defined on a written list, agreed with clinicians.</w:t>
      </w:r>
    </w:p>
    <w:p>
      <w:r>
        <w:t>A critical result is communicated directly -- phone or equivalent -- to the treating clinician or nurse at the earliest, and the communication is logged with date, time and recipient.</w:t>
      </w:r>
    </w:p>
    <w:p>
      <w:r>
        <w:t>If the treating clinician cannot be reached within the hospital-defined escalation time (a specific number of minutes the hospital states in its own SOP; no external body prescribes it), the laboratory escalates to the next person on the facility's on-call or escalation list, and every attempt is logged, not just the one that finally succeeded.</w:t>
      </w:r>
    </w:p>
    <w:p>
      <w:pPr>
        <w:pStyle w:val="Heading1"/>
      </w:pPr>
      <w:r>
        <w:t>5. Records</w:t>
      </w:r>
    </w:p>
    <w:p>
      <w:r>
        <w:t>This SOP produces and maintains Records 1-4 (see the AAC.4 Records folder).</w:t>
      </w:r>
    </w:p>
    <w:p>
      <w:pPr>
        <w:pStyle w:val="Heading1"/>
      </w:pPr>
      <w:r>
        <w:t>6. Related SOPs</w:t>
      </w:r>
    </w:p>
    <w:p>
      <w:pPr>
        <w:pStyle w:val="ListParagraph"/>
      </w:pPr>
      <w:r>
        <w:t>Policy on Laboratory and Diagnostic Services (AAC.4)</w:t>
      </w:r>
    </w:p>
    <w:p>
      <w:pPr>
        <w:pStyle w:val="Heading1"/>
      </w:pPr>
      <w:r>
        <w:t>7. Review</w:t>
      </w:r>
    </w:p>
    <w:p>
      <w:r>
        <w:t>This SOP is reviewed at least annually by the Quality Coordinator together with the Laboratory In-Charge, and sooner if a critical-result delay, specimen-handling error, or repeated rejection pattern occurs.</w:t>
      </w:r>
    </w:p>
    <w:p>
      <w:r>
        <w:br w:type="page"/>
      </w:r>
    </w:p>
    <w:p>
      <w:pPr>
        <w:pStyle w:val="Heading1"/>
      </w:pPr>
      <w:r>
        <w:t>Appendix — NABH Standard Cross-Reference and Evidence Basis</w:t>
      </w:r>
    </w:p>
    <w:p>
      <w:r>
        <w:t>For the Quality Coordinator and NABH assessment use only. The reasoning and real-world triggers for each requirement are already in the body above -- this appendix adds only what the body deliberately leaves out: the exact objective-element code, how this SOP's scope is kept separate from neighbouring standards, and the verified technical source for anything cited.</w:t>
      </w:r>
    </w:p>
    <w:p>
      <w:pPr>
        <w:pStyle w:val="Heading2"/>
      </w:pPr>
      <w:r>
        <w:t>Requisition, collection and handling — AAC.4.c</w:t>
      </w:r>
    </w:p>
    <w:p>
      <w:r>
        <w:rPr>
          <w:i/>
        </w:rPr>
        <w:t>Verified source(s):</w:t>
      </w:r>
    </w:p>
    <w:p>
      <w:pPr>
        <w:pStyle w:val="ListParagraph"/>
      </w:pPr>
      <w:r>
        <w:t xml:space="preserve">• </w:t>
      </w:r>
      <w:r>
        <w:t xml:space="preserve">Ministry of Environment, Forest and Climate Change, Government of India. (2016). </w:t>
      </w:r>
      <w:hyperlink r:id="rId9">
        <w:r>
          <w:rPr>
            <w:color w:val="0563C1"/>
            <w:u w:val="single"/>
          </w:rPr>
          <w:t>Bio-Medical Waste Management Rules, 2016</w:t>
        </w:r>
      </w:hyperlink>
      <w:r>
        <w:t xml:space="preserve"> (G.S.R. 343(E), 28-Mar-2016). Statutory requirement for segregation, handling and disposal of specimens and biomedical waste, administered by the Central Pollution Control Board.</w:t>
      </w:r>
    </w:p>
    <w:p>
      <w:pPr>
        <w:pStyle w:val="Heading2"/>
      </w:pPr>
      <w:r>
        <w:t>Reject an unsuitable specimen rather than testing it — AAC.4.d</w:t>
      </w:r>
    </w:p>
    <w:p>
      <w:pPr>
        <w:pStyle w:val="Heading2"/>
      </w:pPr>
      <w:r>
        <w:t>Turnaround time — AAC.4.d</w:t>
      </w:r>
    </w:p>
    <w:p>
      <w:pPr>
        <w:pStyle w:val="Heading2"/>
      </w:pPr>
      <w:r>
        <w:t>Critical results, with escalation if the first attempt fails — AAC.4.e</w:t>
      </w:r>
    </w:p>
    <w:p>
      <w:pPr>
        <w:pStyle w:val="Heading2"/>
      </w:pPr>
      <w:r>
        <w:t>Full reference list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10">
        <w:r>
          <w:rPr>
            <w:color w:val="0563C1"/>
            <w:u w:val="single"/>
          </w:rPr>
          <w:t>NABH SHCO Accreditation Programme page</w:t>
        </w:r>
      </w:hyperlink>
      <w:r>
        <w:t>. Access, Assessment and Care of Patients chapter, standard AAC.4.</w:t>
      </w:r>
    </w:p>
    <w:p>
      <w:pPr>
        <w:pStyle w:val="ListParagraph"/>
      </w:pPr>
      <w:r>
        <w:t xml:space="preserve">• </w:t>
      </w:r>
      <w:r>
        <w:t xml:space="preserve">Ministry of Environment, Forest and Climate Change, Government of India. (2016). </w:t>
      </w:r>
      <w:hyperlink r:id="rId9">
        <w:r>
          <w:rPr>
            <w:color w:val="0563C1"/>
            <w:u w:val="single"/>
          </w:rPr>
          <w:t>Bio-Medical Waste Management Rules, 2016</w:t>
        </w:r>
      </w:hyperlink>
      <w:r>
        <w:t xml:space="preserve"> (G.S.R. 343(E), 28-Mar-2016). Statutory requirement for segregation, handling and disposal of specimens and biomedical waste, administered by the Central Pollution Control Board.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pcb.nic.in/bio-medical/" TargetMode="External"/><Relationship Id="rId10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