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Laboratory Outsourcing, Quality Assurance and Equipment Calibration</w:t>
      </w:r>
    </w:p>
    <w:p>
      <w:r>
        <w:t>«Hospital Name» — SOP-AAC.4.f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SOP-AAC.4.f</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selects outsourced laboratories based on their quality assurance system and specimen-transport conditions, runs its own in-house laboratory quality assurance programme, calibrates and maintains laboratory equipment on a defined schedule, and manages equipment downtime so testing is not simply paused when an instrument fails.</w:t>
            </w:r>
          </w:p>
        </w:tc>
      </w:tr>
    </w:tbl>
    <w:p/>
    <w:tbl>
      <w:tblPr>
        <w:tblStyle w:val="TableGrid"/>
        <w:tblW w:type="auto" w:w="0"/>
        <w:tblLook w:firstColumn="1" w:firstRow="1" w:lastColumn="0" w:lastRow="0" w:noHBand="0" w:noVBand="1" w:val="04A0"/>
      </w:tblPr>
      <w:tblGrid>
        <w:gridCol w:w="8640"/>
      </w:tblGrid>
      <w:tr>
        <w:tc>
          <w:tcPr>
            <w:tcW w:type="dxa" w:w="8640"/>
          </w:tcPr>
          <w:p>
            <w:r>
              <w:t>A key lab analyser fails mid-shift. This SOP is what gets a documented backup -- a second instrument, a manual method, or an approved outsourced lab -- arranged immediately, instead of testing simply stopping until someone gets around to fixing it.</w:t>
            </w:r>
          </w:p>
        </w:tc>
      </w:tr>
    </w:tbl>
    <w:p/>
    <w:tbl>
      <w:tblPr>
        <w:tblStyle w:val="TableGrid"/>
        <w:tblW w:type="auto" w:w="0"/>
        <w:tblLook w:firstColumn="1" w:firstRow="1" w:lastColumn="0" w:lastRow="0" w:noHBand="0" w:noVBand="1" w:val="04A0"/>
      </w:tblPr>
      <w:tblGrid>
        <w:gridCol w:w="8640"/>
      </w:tblGrid>
      <w:tr>
        <w:tc>
          <w:tcPr>
            <w:tcW w:type="dxa" w:w="8640"/>
          </w:tcPr>
          <w:p>
            <w:r>
              <w:t>We do this because a result produced on an instrument that was never checked against a known reference is only as trustworthy as the last time someone happened to service it, and sending a sample to whichever outside lab is cheapest or closest, with no check on its own quality system, passes that risk straight through to the patient.</w:t>
            </w:r>
          </w:p>
        </w:tc>
      </w:tr>
    </w:tbl>
    <w:p/>
    <w:p>
      <w:r>
        <w:t>To define how «Hospital Name» selects outsourced laboratories, runs its own laboratory QA programme, calibrates and maintains equipment, and manages equipment downtime.</w:t>
      </w:r>
    </w:p>
    <w:p>
      <w:pPr>
        <w:pStyle w:val="Heading1"/>
      </w:pPr>
      <w:r>
        <w:t>2. Scope</w:t>
      </w:r>
    </w:p>
    <w:p>
      <w:r>
        <w:t>so the Laboratory In-Charge and any outsourced laboratory used by the hospital are both held to the same documented standard.</w:t>
      </w:r>
    </w:p>
    <w:p>
      <w:r>
        <w:t>Applies to the Laboratory In-Charge, the Medical Superintendent, and any external laboratory to which «Hospital Name» outsources testing.</w:t>
      </w:r>
    </w:p>
    <w:p>
      <w:pPr>
        <w:pStyle w:val="Heading1"/>
      </w:pPr>
      <w:r>
        <w:t>3. Responsibility</w:t>
      </w:r>
    </w:p>
    <w:p>
      <w:r>
        <w:t>an unverified outside lab or an uncalibrated instrument produces a result nobody can actually trust.</w:t>
      </w:r>
    </w:p>
    <w:p>
      <w:r>
        <w:rPr>
          <w:b/>
        </w:rPr>
        <w:t xml:space="preserve">Laboratory In-Charge: </w:t>
      </w:r>
      <w:r>
        <w:t>Verifies outsourced laboratories' quality assurance credentials and transport arrangements, runs the in-house QA programme, maintains the equipment calibration schedule, and arranges a contingency when equipment is down.</w:t>
      </w:r>
    </w:p>
    <w:p>
      <w:r>
        <w:rPr>
          <w:b/>
        </w:rPr>
        <w:t xml:space="preserve">Medical Superintendent: </w:t>
      </w:r>
      <w:r>
        <w:t>Approves the list of outsourced laboratories and reviews the QA programme at least annually.</w:t>
      </w:r>
    </w:p>
    <w:p>
      <w:pPr>
        <w:pStyle w:val="Heading1"/>
      </w:pPr>
      <w:r>
        <w:t>4. What to do</w:t>
      </w:r>
    </w:p>
    <w:p>
      <w:pPr>
        <w:pStyle w:val="Heading2"/>
      </w:pPr>
      <w:r>
        <w:t>Select, verify and contract outsourced laboratories</w:t>
      </w:r>
    </w:p>
    <w:p>
      <w:r>
        <w:t>Sending a sample to whichever lab is cheapest or closest, with no check on its own quality system or how the specimen will actually get there intact, passes the risk straight through to the patient.</w:t>
      </w:r>
    </w:p>
    <w:p>
      <w:r>
        <w:t>Before a test category is outsourced, the receiving laboratory's quality assurance credentials -- accreditation status, or equivalent documented QA evidence -- are verified and kept on file.</w:t>
      </w:r>
    </w:p>
    <w:p>
      <w:r>
        <w:t>Specimen transport conditions to the outsourced laboratory -- temperature control where required, and a maximum transit time consistent with the test's stability window -- are agreed and documented.</w:t>
      </w:r>
    </w:p>
    <w:p>
      <w:r>
        <w:t>A written agreement or service-level understanding with the outsourced laboratory states expected turnaround time and how a result discrepancy is handled.</w:t>
      </w:r>
    </w:p>
    <w:p>
      <w:r>
        <w:t>The approved outsourced-laboratory list is reviewed at least annually.</w:t>
      </w:r>
    </w:p>
    <w:p>
      <w:pPr>
        <w:pStyle w:val="Heading2"/>
      </w:pPr>
      <w:r>
        <w:t>Run the in-house QA programme</w:t>
      </w:r>
    </w:p>
    <w:p>
      <w:r>
        <w:t>A laboratory that never checks its own results against a known standard has no way of knowing whether its results are actually reliable -- internal and external quality control is what answers that question.</w:t>
      </w:r>
    </w:p>
    <w:p>
      <w:r>
        <w:t>Internal quality control is run and documented for each applicable test, per a defined schedule.</w:t>
      </w:r>
    </w:p>
    <w:p>
      <w:r>
        <w:t>The laboratory participates in an external quality assessment scheme (proficiency testing) and documents the results.</w:t>
      </w:r>
    </w:p>
    <w:p>
      <w:r>
        <w:t>QA programme results are reviewed by the Laboratory In-Charge, with a documented root cause and corrective action for any out-of-range result.</w:t>
      </w:r>
    </w:p>
    <w:p>
      <w:pPr>
        <w:pStyle w:val="Heading2"/>
      </w:pPr>
      <w:r>
        <w:t>Calibrate, maintain and manage downtime</w:t>
      </w:r>
    </w:p>
    <w:p>
      <w:r>
        <w:t>A result produced on an instrument that was never checked against a known reference is only as trustworthy as the last time someone happened to service it, and an instrument simply taken offline with no backup plan turns an equipment problem into a patient-care gap.</w:t>
      </w:r>
    </w:p>
    <w:p>
      <w:r>
        <w:t>Every laboratory instrument has a defined calibration and preventive-maintenance schedule, carried out and logged.</w:t>
      </w:r>
    </w:p>
    <w:p>
      <w:r>
        <w:t>Any instrument found out of calibration is taken out of service immediately until corrected, and this is logged alongside the calibration record, not treated as a separate undocumented event.</w:t>
      </w:r>
    </w:p>
    <w:p>
      <w:r>
        <w:t>For the period an instrument is out of service, the Laboratory In-Charge arranges a documented contingency -- a backup instrument, manual method, or outsourcing to an approved laboratory -- so testing is not simply paused.</w:t>
      </w:r>
    </w:p>
    <w:p>
      <w:r>
        <w:t>An instrument is only returned to service once the Laboratory In-Charge confirms and signs off that it has passed calibration.</w:t>
      </w:r>
    </w:p>
    <w:p>
      <w:pPr>
        <w:pStyle w:val="Heading1"/>
      </w:pPr>
      <w:r>
        <w:t>5. Records</w:t>
      </w:r>
    </w:p>
    <w:p>
      <w:r>
        <w:t>This SOP produces and maintains Records 1-3 (see the AAC.4 Records folder).</w:t>
      </w:r>
    </w:p>
    <w:p>
      <w:pPr>
        <w:pStyle w:val="Heading1"/>
      </w:pPr>
      <w:r>
        <w:t>6. Related SOPs</w:t>
      </w:r>
    </w:p>
    <w:p>
      <w:pPr>
        <w:pStyle w:val="ListParagraph"/>
      </w:pPr>
      <w:r>
        <w:t>Policy on Laboratory and Diagnostic Services (AAC.4)</w:t>
      </w:r>
    </w:p>
    <w:p>
      <w:pPr>
        <w:pStyle w:val="Heading1"/>
      </w:pPr>
      <w:r>
        <w:t>7. Review</w:t>
      </w:r>
    </w:p>
    <w:p>
      <w:r>
        <w:t>This SOP is reviewed at least annually by the Quality Coordinator together with the Laboratory In-Charge, and sooner if a QA result or calibration check is out of range, or an equipment-downtime contingency is used.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Select, verify and contract outsourced laboratories — AAC.4.f</w:t>
      </w:r>
    </w:p>
    <w:p>
      <w:r>
        <w:rPr>
          <w:i/>
        </w:rPr>
        <w:t>Verified source(s):</w:t>
      </w:r>
    </w:p>
    <w:p>
      <w:pPr>
        <w:pStyle w:val="ListParagraph"/>
      </w:pPr>
      <w:r>
        <w:t xml:space="preserve">• </w:t>
      </w:r>
      <w:r>
        <w:t xml:space="preserve">National Accreditation Board for Testing and Calibration Laboratories. (2025). </w:t>
      </w:r>
      <w:hyperlink r:id="rId9">
        <w:r>
          <w:rPr>
            <w:color w:val="0563C1"/>
            <w:u w:val="single"/>
          </w:rPr>
          <w:t>NABL 112B — Guidance Document: Medical Laboratories</w:t>
        </w:r>
      </w:hyperlink>
      <w:r>
        <w:t xml:space="preserve"> (Issue 01, Amdt. 01, 04-Nov-2025). Referenced as an external benchmark for laboratory quality-assurance programme design; SHCO accreditation does not itself require NABL accreditation.</w:t>
      </w:r>
    </w:p>
    <w:p>
      <w:pPr>
        <w:pStyle w:val="Heading2"/>
      </w:pPr>
      <w:r>
        <w:t>Run the in-house QA programme — AAC.4.g</w:t>
      </w:r>
    </w:p>
    <w:p>
      <w:r>
        <w:rPr>
          <w:i/>
        </w:rPr>
        <w:t>Verified source(s):</w:t>
      </w:r>
    </w:p>
    <w:p>
      <w:pPr>
        <w:pStyle w:val="ListParagraph"/>
      </w:pPr>
      <w:r>
        <w:t xml:space="preserve">• </w:t>
      </w:r>
      <w:r>
        <w:t xml:space="preserve">National Accreditation Board for Testing and Calibration Laboratories. (2025). </w:t>
      </w:r>
      <w:hyperlink r:id="rId9">
        <w:r>
          <w:rPr>
            <w:color w:val="0563C1"/>
            <w:u w:val="single"/>
          </w:rPr>
          <w:t>NABL 112B — Guidance Document: Medical Laboratories</w:t>
        </w:r>
      </w:hyperlink>
      <w:r>
        <w:t xml:space="preserve"> (Issue 01, Amdt. 01, 04-Nov-2025). Referenced as an external benchmark for laboratory quality-assurance programme design; SHCO accreditation does not itself require NABL accreditation.</w:t>
      </w:r>
    </w:p>
    <w:p>
      <w:pPr>
        <w:pStyle w:val="Heading2"/>
      </w:pPr>
      <w:r>
        <w:t>Calibrate, maintain and manage downtime — AAC.4.h</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Access, Assessment and Care of Patients chapter, standard AAC.4.</w:t>
      </w:r>
    </w:p>
    <w:p>
      <w:pPr>
        <w:pStyle w:val="ListParagraph"/>
      </w:pPr>
      <w:r>
        <w:t xml:space="preserve">• </w:t>
      </w:r>
      <w:r>
        <w:t xml:space="preserve">National Accreditation Board for Testing and Calibration Laboratories. (2025). </w:t>
      </w:r>
      <w:hyperlink r:id="rId9">
        <w:r>
          <w:rPr>
            <w:color w:val="0563C1"/>
            <w:u w:val="single"/>
          </w:rPr>
          <w:t>NABL 112B — Guidance Document: Medical Laboratories</w:t>
        </w:r>
      </w:hyperlink>
      <w:r>
        <w:t xml:space="preserve"> (Issue 01, Amdt. 01, 04-Nov-2025). Referenced as an external benchmark for laboratory quality-assurance programme design; SHCO accreditation does not itself require NABL accreditation.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l-india.org/"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