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AAC.1.c — Scope of clinical services of each department defined</w:t>
      </w:r>
    </w:p>
    <w:p>
      <w:r>
        <w:rPr>
          <w:b/>
          <w:sz w:val="30"/>
        </w:rPr>
        <w:t>AAC.1 Record 8 — Clinical Scope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One statement per department (super-speciality, broad speciality, and diagnostic), approved and dated. Every time this happens for real, whoever is responsible adds one new row to the table below, filling in: Department, Scope of Clinical Service, Approved By, Date Approved.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authorised adds or updates this when a real decision is actually made — in this case, that means one statement per department (super-speciality, broad speciality, and diagnostic), approved and dated. The worked example below shows a real entry: on 05-Jan-2026, department was “Cardiology”, scope of clinical service was “Broad speciality — diagnostic and non-surgical cardiac care”,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formal, written version of a decision or position — useful specifically because it's dated and attributable to a named person, not just something that was generally understood.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Which department or ward this relates to. The worked example row below shows 'Cardiology'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Scope of Clinical Service: </w:t>
      </w:r>
      <w:r>
        <w:t>Name the specific procedure or service this entry is about. The worked example row below shows 'Broad speciality — diagnostic and non-surgical cardiac care'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Approved By: </w:t>
      </w:r>
      <w:r>
        <w:t>Name and designation of the person who actually approved this — usually a senior/department-head role, not whoever filled in the form. The worked example row below shows 'Medical Superintendent'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 Approved: </w:t>
      </w:r>
      <w:r>
        <w:t>The actual date this happened — not the date you're filling the form.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Scope of Clinical Service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Cardiology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Broad speciality — diagnostic and non-surgical cardiac care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