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AAC.10.e — Internal transfer (Commitment)</w:t>
      </w:r>
    </w:p>
    <w:p>
      <w:r>
        <w:rPr>
          <w:b/>
          <w:sz w:val="30"/>
        </w:rPr>
        <w:t>AAC.10 Record 9 — Unstable-Patient Transfer Accompaniment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Imaging and unstable-patient transfer records with accompaniment and monitoring. Every time this happens for real, whoever is responsible adds one new row to the table below, filling in: Patient ID, Destination, Accompanying Staff, Monitoring Used.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imaging and unstable-patient transfer records with accompaniment and monitoring. The worked example below shows a real entry: patient id was “IP-2026-0142”, destination was “CT Suite”, accompanying staff was “Nurse K. Pillai + Dr. C. Menon”.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Destination: </w:t>
      </w:r>
      <w:r>
        <w:t>Enter the actual destination for this specific entry — real information from what actually happened, not a placeholder. The worked example row below shows 'CT Suite'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Accompanying Staff: </w:t>
      </w:r>
      <w:r>
        <w:t>Enter the actual accompanying staff for this specific entry — real information from what actually happened, not a placeholder. The worked example row below shows 'Nurse K. Pillai + Dr. C.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Monitoring Used: </w:t>
      </w:r>
      <w:r>
        <w:t>Enter the actual monitoring used for this specific entry — real information from what actually happened, not a placeholder. The worked example row below shows 'Portable monitor, O2'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Destination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Accompanying Staff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Monitoring Used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CT Suite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K. Pillai + Dr. C. Menon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Portable monitor, O2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