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AAC.10.h — Critical value response (Commitment)</w:t>
      </w:r>
    </w:p>
    <w:p>
      <w:r>
        <w:rPr>
          <w:b/>
          <w:sz w:val="30"/>
        </w:rPr>
        <w:t>AAC.10 Record 15 — Clinical Intervention Documentation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Progress notes or orders documenting the clinical intervention taken in response. Every time this happens for real, whoever is responsible adds one new row to the table below, filling in: Patient ID, Intervention, Documented By, Time.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progress notes or orders documenting the clinical intervention taken in response. The worked example below shows a real entry: on 14:35, patient id was “IP-2026-0155”, intervention was “IV Calcium gluconate, repeat K+ in 1hr”, documented by was “Dr. A. Rao”.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results deadline that exists only as a general expectation, never checked against real cases, isn't actually managed — this record is what proves how long results are genuinely taking, and what happened when they didn't.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'IP-2026-0155'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Intervention: </w:t>
      </w:r>
      <w:r>
        <w:t>Enter the actual intervention for this specific entry — real information from what actually happened, not a placeholder. The worked example row below shows 'IV Calcium gluconate, repeat K+ in 1hr'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Documented By: </w:t>
      </w:r>
      <w:r>
        <w:t>Who wrote this entry down.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Time: </w:t>
      </w:r>
      <w:r>
        <w:t>Enter the actual time for this specific entry — real information from what actually happened, not a placeholder. The worked example row below shows '14:35'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Intervention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Documented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Time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IP-2026-0155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IV Calcium gluconate, repeat K+ in 1hr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14:35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