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AAC.11.e — Lifestyle health education (Commitment)</w:t>
      </w:r>
    </w:p>
    <w:p>
      <w:r>
        <w:rPr>
          <w:b/>
          <w:sz w:val="30"/>
        </w:rPr>
        <w:t>AAC.11 Record 10 — Lifestyle Education Content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Documentation of diet, exercise, ADL, pain, or substance-cessation education given. Every time this happens for real, whoever is responsible adds one new row to the table below, filling in: Patient ID, Education Topic, Given By,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documentation of diet, exercise, ADL, pain, or substance-cessation education given. The worked example below shows a real entry: on 13-Jan-2026, patient id was “IP-2026-0142”, education topic was “Low-salt diet counselling”, given by was “Dietician”.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Preventive care that's offered informally, with no record, can't be shown to have reached the patient it was meant for — this record is the proof the screening, immunisation advice or education actually happened, for a real person, not just that the programme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Education Topic: </w:t>
      </w:r>
      <w:r>
        <w:t>Enter the actual education topic for this specific entry — real information from what actually happened, not a placeholder. The worked example row below shows 'Low-salt diet counselling'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Given By: </w:t>
      </w:r>
      <w:r>
        <w:t>Name of the staff member who actually did this — the real person, not a department name. The worked example row below shows 'Dietician'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'13-Jan-2026'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Education Topic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Given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Low-salt diet counselling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Dietician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13-Jan-2026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