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AAC.12.a — Discharge planning (Commitment)</w:t>
      </w:r>
    </w:p>
    <w:p>
      <w:r>
        <w:rPr>
          <w:b/>
          <w:sz w:val="30"/>
        </w:rPr>
        <w:t>AAC.12 Record 1 — Discharge Readiness Reassessment Note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Reassessment note stating readiness for discharge. In plain terms: this is the paper trail for 'Discharge Readiness Reassessment Note' — proof of what actually happened, not just what was supposed to happen. Every time this happens for real, whoever is responsible adds one new row to the table below, filling in: Patient ID, Reassessment Date, Fit for Discharge (Y/N), Assessed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treating team fills this in at the point a real patient is actually discharged — in this case, that means reassessment note stating readiness for discharge. The worked example below shows a real entry: on 14-Jan-2026, patient id was “IP-2026-0142”, fit for discharge (y/n) was “Yes”, assessed by was “Dr. A. Rao”.</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discharge that isn't actually planned, discussed and documented is how a patient leaves without knowing what to do next, or the hospital loses its own record of what was agreed — this record is the proof the discharge was handled properly, not just that the patient left.</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Reassessment Date: </w:t>
      </w:r>
      <w:r>
        <w:t>Enter the actual reassessment date for this specific entry — real information from what actually happened, not a placeholder. The worked example row below shows '14-Jan-2026' in this column, so you can see the level of detail expected — write your own real entry in that same style, not a copy of the example.</w:t>
      </w:r>
    </w:p>
    <w:p>
      <w:pPr>
        <w:pStyle w:val="ListParagraph"/>
      </w:pPr>
      <w:r>
        <w:rPr>
          <w:b/>
        </w:rPr>
        <w:t xml:space="preserve">Fit for Discharge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Assessed By: </w:t>
      </w:r>
      <w:r>
        <w:t>Enter the actual assessed by for this specific entry — real information from what actually happened, not a placeholder. The worked example row below shows 'Dr. A. Rao'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Reassessment Date</w:t>
            </w:r>
          </w:p>
        </w:tc>
        <w:tc>
          <w:tcPr>
            <w:tcW w:type="dxa" w:w="2420"/>
            <w:shd w:val="clear" w:fill="D9E2F3"/>
          </w:tcPr>
          <w:p>
            <w:r/>
            <w:r>
              <w:rPr>
                <w:b/>
                <w:sz w:val="20"/>
              </w:rPr>
              <w:t>Fit for Discharge (Y/N)</w:t>
            </w:r>
          </w:p>
        </w:tc>
        <w:tc>
          <w:tcPr>
            <w:tcW w:type="dxa" w:w="2420"/>
            <w:shd w:val="clear" w:fill="D9E2F3"/>
          </w:tcPr>
          <w:p>
            <w:r/>
            <w:r>
              <w:rPr>
                <w:b/>
                <w:sz w:val="20"/>
              </w:rPr>
              <w:t>Assessed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14-Jan-2026</w:t>
            </w:r>
          </w:p>
        </w:tc>
        <w:tc>
          <w:tcPr>
            <w:tcW w:type="dxa" w:w="2420"/>
            <w:shd w:val="clear" w:fill="FFF2CC"/>
          </w:tcPr>
          <w:p>
            <w:r/>
            <w:r>
              <w:rPr>
                <w:b w:val="0"/>
                <w:sz w:val="20"/>
              </w:rPr>
              <w:t>Yes</w:t>
            </w:r>
          </w:p>
        </w:tc>
        <w:tc>
          <w:tcPr>
            <w:tcW w:type="dxa" w:w="2420"/>
            <w:shd w:val="clear" w:fill="FFF2CC"/>
          </w:tcPr>
          <w:p>
            <w:r/>
            <w:r>
              <w:rPr>
                <w:b w:val="0"/>
                <w:sz w:val="20"/>
              </w:rPr>
              <w:t>Dr. A. Rao</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