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AAC.12.c — LAMA guidance (Commitment*)</w:t>
      </w:r>
    </w:p>
    <w:p>
      <w:r>
        <w:rPr>
          <w:b/>
          <w:sz w:val="30"/>
        </w:rPr>
        <w:t>AAC.12 Record 6 — LAMA Written Guidance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current LAMA guidance exists. In plain terms: this is the paper trail for 'LAMA Written Guidance Log' — proof of what actually happened, not just what was supposed to happen. Every time this happens for real, whoever is responsible adds one new row to the table below, filling in: Guidance Element, Document Reference,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current LAMA guidance exists. The worked example below shows a real entry: guidance element was “Consequences explanation script”, document reference was “LAMA-SOP-01, v1.1”, last reviewed was “05-Jan-2026”.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Guidance Element: </w:t>
      </w:r>
      <w:r>
        <w:t>Enter the actual guidance element for this specific entry — real information from what actually happened, not a placeholder. The worked example row below shows 'Consequences explanation script'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'LAMA-SOP-01, v1.1'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Guidance Element</w:t>
            </w:r>
          </w:p>
        </w:tc>
        <w:tc>
          <w:tcPr>
            <w:tcW w:type="dxa" w:w="3227"/>
            <w:shd w:val="clear" w:fill="D9E2F3"/>
          </w:tcPr>
          <w:p>
            <w:r/>
            <w:r>
              <w:rPr>
                <w:b/>
                <w:sz w:val="20"/>
              </w:rPr>
              <w:t>Document Reference</w:t>
            </w:r>
          </w:p>
        </w:tc>
        <w:tc>
          <w:tcPr>
            <w:tcW w:type="dxa" w:w="3227"/>
            <w:shd w:val="clear" w:fill="D9E2F3"/>
          </w:tcPr>
          <w:p>
            <w:r/>
            <w:r>
              <w:rPr>
                <w:b/>
                <w:sz w:val="20"/>
              </w:rPr>
              <w:t>Last Reviewed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Consequences explanation script</w:t>
            </w:r>
          </w:p>
        </w:tc>
        <w:tc>
          <w:tcPr>
            <w:tcW w:type="dxa" w:w="3227"/>
            <w:shd w:val="clear" w:fill="FFF2CC"/>
          </w:tcPr>
          <w:p>
            <w:r/>
            <w:r>
              <w:rPr>
                <w:b w:val="0"/>
                <w:sz w:val="20"/>
              </w:rPr>
              <w:t>LAMA-SOP-01, v1.1</w:t>
            </w:r>
          </w:p>
        </w:tc>
        <w:tc>
          <w:tcPr>
            <w:tcW w:type="dxa" w:w="3227"/>
            <w:shd w:val="clear" w:fill="FFF2CC"/>
          </w:tcPr>
          <w:p>
            <w:r/>
            <w:r>
              <w:rPr>
                <w:b w:val="0"/>
                <w:sz w:val="20"/>
              </w:rPr>
              <w:t>05-Jan-2026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