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AAC.12.e — Planned discharge (Commitment)</w:t>
      </w:r>
    </w:p>
    <w:p>
      <w:r>
        <w:rPr>
          <w:b/>
          <w:sz w:val="30"/>
        </w:rPr>
        <w:t>AAC.12 Record 12 — Draft Summary &amp; Special-Needs Preparation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Draft discharge summary and special-needs preparation before discharge. Every time this happens for real, whoever is responsible adds one new row to the table below, filling in: Patient ID, Draft Summary Ready (Y/N), Special Needs Identified.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treating team fills this in at the point a real patient is actually discharged — in this case, that means draft discharge summary and special-needs preparation before discharge. The worked example below shows a real entry: patient id was “IP-2026-0142”, draft summary ready (y/n) was “Yes”, special needs identified was “Home physiotherapy arranged”.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discharge that isn't actually planned, discussed and documented is how a patient leaves without knowing what to do next, or the hospital loses its own record of what was agreed — this record is the proof the discharge was handled properly, not just that the patient left.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Draft Summary Ready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Special Needs Identified: </w:t>
      </w:r>
      <w:r>
        <w:t>Enter the actual special needs identified for this specific entry — real information from what actually happened, not a placeholder. The worked example row below shows 'Home physiotherapy arranged'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Draft Summary Ready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Special Needs Identified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Home physiotherapy arranged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