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AAC.13.b — Standardised content (Commitment)</w:t>
      </w:r>
    </w:p>
    <w:p>
      <w:r>
        <w:rPr>
          <w:b/>
          <w:sz w:val="30"/>
        </w:rPr>
        <w:t>AAC.13 Record 4 — Minimum Content Field Completion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Completed summaries with all minimum content fields present. Every time this happens for real, whoever is responsible adds one new row to the table below, filling in: Patient ID, All Fields Complete (Y/N), Missing Field (if any).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completed summaries with all minimum content fields present. The worked example below shows a real entry: patient id was “IP-2026-0142”, all fields complete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All Fields Complete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Missing Field (if any): </w:t>
      </w:r>
      <w:r>
        <w:t>Enter the actual missing field (if any) for this specific entry — real information from what actually happened, not a placeholder.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All Fields Complete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Missing Field (if any)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