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AAC.13.c — Follow-up and medication instructions (Commitment)</w:t>
      </w:r>
    </w:p>
    <w:p>
      <w:r>
        <w:rPr>
          <w:b/>
          <w:sz w:val="30"/>
        </w:rPr>
        <w:t>AAC.13 Record 5 — Plain-Language Medication Instruction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Summaries showing medication frequencies written in plain language, not abbreviations. Every time this happens for real, whoever is responsible adds one new row to the table below, filling in: Patient ID, Medication, Frequency Written As, Plain Language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summaries showing medication frequencies written in plain language, not abbreviations. The worked example below shows a real entry: patient id was “IP-2026-0142”, medication was “Metformin 500mg”, frequency written as was “Twice a day, after meals”.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guideline that's never checked against real practice is just a document — this record is what proves the rule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Medication: </w:t>
      </w:r>
      <w:r>
        <w:t>Enter the actual medication for this specific entry — real information from what actually happened, not a placeholder. The worked example row below shows 'Metformin 500mg'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Frequency Written As: </w:t>
      </w:r>
      <w:r>
        <w:t>Enter the actual frequency written as for this specific entry — real information from what actually happened, not a placeholder. The worked example row below shows 'Twice a day, after meals'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Plain Language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Medication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Frequency Written As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Plain Language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Metformin 500mg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Twice a day, after meals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