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AAC.2.a — Written guidance for registering and admitting patients</w:t>
      </w:r>
    </w:p>
    <w:p>
      <w:r>
        <w:rPr>
          <w:b/>
          <w:sz w:val="30"/>
        </w:rPr>
        <w:t>AAC.2 Record 1 — Registration &amp; Admission Guidance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written guidance exists and is current for OP, day-care, IP, emergency, and unidentified-patient registration. Every time this happens for real, whoever is responsible adds one new row to the table below, filling in: Area Covered, Guidance Document Reference, Last Reviewed, Reviewed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written guidance exists and is current for OP, day-care, IP, emergency, and unidentified-patient registration. The worked example below shows a real entry: area covered was “Unidentified patient registration”, guidance document reference was “REG-SOP-03, v2.0”,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Area Covered: </w:t>
      </w:r>
      <w:r>
        <w:t>Enter the actual area covered for this specific entry — real information from what actually happened, not a placeholder. The worked example row below shows 'Unidentified patient registration'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Guidance Document Reference: </w:t>
      </w:r>
      <w:r>
        <w:t>Enter the actual guidance document reference for this specific entry — real information from what actually happened, not a placeholder. The worked example row below shows 'REG-SOP-03, v2.0'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Reviewed By: </w:t>
      </w:r>
      <w:r>
        <w:t>Enter the actual reviewed by for this specific entry — real information from what actually happened, not a placeholder. The worked example row below shows 'Registration In-Charge'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Area Covered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Guidance Document Reference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Unidentified patient registration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REG-SOP-03, v2.0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Registration In-Charge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