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AAC.2.a — Written guidance for registering and admitting patients</w:t>
      </w:r>
    </w:p>
    <w:p>
      <w:r>
        <w:rPr>
          <w:b/>
          <w:sz w:val="30"/>
        </w:rPr>
        <w:t>AAC.2 Record 2 — Sample Registration &amp; Consent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Sample of registration records showing the patient was registered and general consent obtained with scope explained. Every time this happens for real, whoever is responsible adds one new row to the table below, filling in: Patient ID, Date, Registered (Y/N), General Consent Obtained (Y/N), Scope Explained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sample of registration records showing the patient was registered and general consent obtained with scope explained. The worked example below shows a real entry: on 10-Jan-2026, patient id was “OP-2026-0341”, registered (y/n) was “Yes”, general consent obtained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'OP-2026-0341'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'10-Jan-2026' in this column, so you can see the level of detail expected — write your own real entry in that same style, not a copy of the example.</w:t>
      </w:r>
    </w:p>
    <w:p>
      <w:pPr>
        <w:pStyle w:val="ListParagraph"/>
      </w:pPr>
      <w:r>
        <w:rPr>
          <w:b/>
        </w:rPr>
        <w:t xml:space="preserve">Registered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General Consent Obtained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Scope Explained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Date</w:t>
            </w:r>
          </w:p>
        </w:tc>
        <w:tc>
          <w:tcPr>
            <w:tcW w:type="dxa" w:w="1936"/>
            <w:shd w:val="clear" w:fill="D9E2F3"/>
          </w:tcPr>
          <w:p>
            <w:r/>
            <w:r>
              <w:rPr>
                <w:b/>
                <w:sz w:val="20"/>
              </w:rPr>
              <w:t>Registered (Y/N)</w:t>
            </w:r>
          </w:p>
        </w:tc>
        <w:tc>
          <w:tcPr>
            <w:tcW w:type="dxa" w:w="1936"/>
            <w:shd w:val="clear" w:fill="D9E2F3"/>
          </w:tcPr>
          <w:p>
            <w:r/>
            <w:r>
              <w:rPr>
                <w:b/>
                <w:sz w:val="20"/>
              </w:rPr>
              <w:t>General Consent Obtained (Y/N)</w:t>
            </w:r>
          </w:p>
        </w:tc>
        <w:tc>
          <w:tcPr>
            <w:tcW w:type="dxa" w:w="1936"/>
            <w:shd w:val="clear" w:fill="D9E2F3"/>
          </w:tcPr>
          <w:p>
            <w:r/>
            <w:r>
              <w:rPr>
                <w:b/>
                <w:sz w:val="20"/>
              </w:rPr>
              <w:t>Scope Explained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OP-2026-0341</w:t>
            </w:r>
          </w:p>
        </w:tc>
        <w:tc>
          <w:tcPr>
            <w:tcW w:type="dxa" w:w="1936"/>
            <w:shd w:val="clear" w:fill="FFF2CC"/>
          </w:tcPr>
          <w:p>
            <w:r/>
            <w:r>
              <w:rPr>
                <w:b w:val="0"/>
                <w:sz w:val="20"/>
              </w:rPr>
              <w:t>10-Jan-2026</w:t>
            </w:r>
          </w:p>
        </w:tc>
        <w:tc>
          <w:tcPr>
            <w:tcW w:type="dxa" w:w="1936"/>
            <w:shd w:val="clear" w:fill="FFF2CC"/>
          </w:tcPr>
          <w:p>
            <w:r/>
            <w:r>
              <w:rPr>
                <w:b w:val="0"/>
                <w:sz w:val="20"/>
              </w:rPr>
              <w:t>Yes</w:t>
            </w:r>
          </w:p>
        </w:tc>
        <w:tc>
          <w:tcPr>
            <w:tcW w:type="dxa" w:w="1936"/>
            <w:shd w:val="clear" w:fill="FFF2CC"/>
          </w:tcPr>
          <w:p>
            <w:r/>
            <w:r>
              <w:rPr>
                <w:b w:val="0"/>
                <w:sz w:val="20"/>
              </w:rPr>
              <w:t>Yes</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