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AAC.2.d — Written guidance for non-availability of beds</w:t>
      </w:r>
    </w:p>
    <w:p>
      <w:r>
        <w:rPr>
          <w:b/>
          <w:sz w:val="30"/>
        </w:rPr>
        <w:t>AAC.2 Record 13 — Bed-Category Mismatch Financial Explanation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the financial explanation given when the desired bed category was unavailable. Every time this happens for real, whoever is responsible adds one new row to the table below, filling in: Patient ID, Desired Category, Alternate Category Given, Financial Explanation Given (Y/N), Explained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the financial explanation given when the desired bed category was unavailable. The worked example below shows a real entry: patient id was “IP-2026-0145”, desired category was “Private”, alternate category given was “Semi-Private”.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serious situation — like a patient leaving unexpectedly, or a risk that needed explaining to a family — handled with no record is a situation the hospital can't later show it managed responsibly — this record is that proof.</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'IP-2026-0145' in this column, so you can see the level of detail expected — write your own real entry in that same style, not a copy of the example.</w:t>
      </w:r>
    </w:p>
    <w:p>
      <w:pPr>
        <w:pStyle w:val="ListParagraph"/>
      </w:pPr>
      <w:r>
        <w:rPr>
          <w:b/>
        </w:rPr>
        <w:t xml:space="preserve">Desired Category: </w:t>
      </w:r>
      <w:r>
        <w:t>Enter the actual desired category for this specific entry — real information from what actually happened, not a placeholder. The worked example row below shows 'Private' in this column, so you can see the level of detail expected — write your own real entry in that same style, not a copy of the example.</w:t>
      </w:r>
    </w:p>
    <w:p>
      <w:pPr>
        <w:pStyle w:val="ListParagraph"/>
      </w:pPr>
      <w:r>
        <w:rPr>
          <w:b/>
        </w:rPr>
        <w:t xml:space="preserve">Alternate Category Given: </w:t>
      </w:r>
      <w:r>
        <w:t>Enter the actual alternate category given for this specific entry — real information from what actually happened, not a placeholder. The worked example row below shows 'Semi-Private' in this column, so you can see the level of detail expected — write your own real entry in that same style, not a copy of the example.</w:t>
      </w:r>
    </w:p>
    <w:p>
      <w:pPr>
        <w:pStyle w:val="ListParagraph"/>
      </w:pPr>
      <w:r>
        <w:rPr>
          <w:b/>
        </w:rPr>
        <w:t xml:space="preserve">Financial Explanation Given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Explained By: </w:t>
      </w:r>
      <w:r>
        <w:t>Name of the staff member who actually did this — the real person, not a department name. The worked example row below shows 'Billing Desk'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Desired Category</w:t>
            </w:r>
          </w:p>
        </w:tc>
        <w:tc>
          <w:tcPr>
            <w:tcW w:type="dxa" w:w="1936"/>
            <w:shd w:val="clear" w:fill="D9E2F3"/>
          </w:tcPr>
          <w:p>
            <w:r/>
            <w:r>
              <w:rPr>
                <w:b/>
                <w:sz w:val="20"/>
              </w:rPr>
              <w:t>Alternate Category Given</w:t>
            </w:r>
          </w:p>
        </w:tc>
        <w:tc>
          <w:tcPr>
            <w:tcW w:type="dxa" w:w="1936"/>
            <w:shd w:val="clear" w:fill="D9E2F3"/>
          </w:tcPr>
          <w:p>
            <w:r/>
            <w:r>
              <w:rPr>
                <w:b/>
                <w:sz w:val="20"/>
              </w:rPr>
              <w:t>Financial Explanation Given (Y/N)</w:t>
            </w:r>
          </w:p>
        </w:tc>
        <w:tc>
          <w:tcPr>
            <w:tcW w:type="dxa" w:w="1936"/>
            <w:shd w:val="clear" w:fill="D9E2F3"/>
          </w:tcPr>
          <w:p>
            <w:r/>
            <w:r>
              <w:rPr>
                <w:b/>
                <w:sz w:val="20"/>
              </w:rPr>
              <w:t>Explained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IP-2026-0145</w:t>
            </w:r>
          </w:p>
        </w:tc>
        <w:tc>
          <w:tcPr>
            <w:tcW w:type="dxa" w:w="1936"/>
            <w:shd w:val="clear" w:fill="FFF2CC"/>
          </w:tcPr>
          <w:p>
            <w:r/>
            <w:r>
              <w:rPr>
                <w:b w:val="0"/>
                <w:sz w:val="20"/>
              </w:rPr>
              <w:t>Private</w:t>
            </w:r>
          </w:p>
        </w:tc>
        <w:tc>
          <w:tcPr>
            <w:tcW w:type="dxa" w:w="1936"/>
            <w:shd w:val="clear" w:fill="FFF2CC"/>
          </w:tcPr>
          <w:p>
            <w:r/>
            <w:r>
              <w:rPr>
                <w:b w:val="0"/>
                <w:sz w:val="20"/>
              </w:rPr>
              <w:t>Semi-Private</w:t>
            </w:r>
          </w:p>
        </w:tc>
        <w:tc>
          <w:tcPr>
            <w:tcW w:type="dxa" w:w="1936"/>
            <w:shd w:val="clear" w:fill="FFF2CC"/>
          </w:tcPr>
          <w:p>
            <w:r/>
            <w:r>
              <w:rPr>
                <w:b w:val="0"/>
                <w:sz w:val="20"/>
              </w:rPr>
              <w:t>Yes</w:t>
            </w:r>
          </w:p>
        </w:tc>
        <w:tc>
          <w:tcPr>
            <w:tcW w:type="dxa" w:w="1936"/>
            <w:shd w:val="clear" w:fill="FFF2CC"/>
          </w:tcPr>
          <w:p>
            <w:r/>
            <w:r>
              <w:rPr>
                <w:b w:val="0"/>
                <w:sz w:val="20"/>
              </w:rPr>
              <w:t>Billing Desk</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