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AAC.3.d — Summary of condition and treatment given</w:t>
      </w:r>
    </w:p>
    <w:p>
      <w:r>
        <w:rPr>
          <w:b/>
          <w:sz w:val="30"/>
        </w:rPr>
        <w:t>AAC.3 Record 15 — Retained Copy Filing Confirmation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Confirms the retained transfer/discharge summary copy is filed under the unique identification number. Every time this happens for real, whoever is responsible adds one new row to the table below, filling in: Patient ID, Unique ID, Filed (Y/N), Filed By.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hands the patient over fills in a new row at the time the handover or transfer actually happens — in this case, that means the retained transfer/discharge summary copy is filed under the unique identification number. The worked example below shows a real entry: patient id was “IP-2026-0142”, unique id was “UID-2026-88421”, filed (y/n) was “Yes”.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Care handed from one person, shift or department to another is one of the most common points where information gets lost — this record is what proves the handover or transfer actually happened and what was actually passed on.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Patient ID: </w:t>
      </w:r>
      <w:r>
        <w:t>The patient's UHID or name/identifier for this specific entry. The worked example row below shows 'IP-2026-0142'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Unique ID: </w:t>
      </w:r>
      <w:r>
        <w:t>Enter the actual unique id for this specific entry — real information from what actually happened, not a placeholder. The worked example row below shows 'UID-2026-88421'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Filed (Y/N): </w:t>
      </w:r>
      <w:r>
        <w:t>Answer honestly with what's actually true — Y or N. Don't default to Y without checking. The worked example row below shows 'Yes'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Filed By: </w:t>
      </w:r>
      <w:r>
        <w:t>Enter the actual filed by for this specific entry — real information from what actually happened, not a placeholder. The worked example row below shows 'Medical Records Officer'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Patient ID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Unique ID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Filed (Y/N)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Filed By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IP-2026-0142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UID-2026-88421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Yes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Medical Records Officer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