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AAC.4.a — Standardised initial assessment</w:t>
      </w:r>
    </w:p>
    <w:p>
      <w:r>
        <w:rPr>
          <w:b/>
          <w:sz w:val="30"/>
        </w:rPr>
        <w:t>AAC.4 Record 4 — Day-Care Abridged Documentation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abridged documentation is used appropriately for day-care patients, including dialysis. Every time this happens for real, whoever is responsible adds one new row to the table below, filling in: Patient ID, Day-Care Type, Abridged Format Used, Completed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abridged documentation is used appropriately for day-care patients, including dialysis. The worked example below shows a real entry: patient id was “DC-2026-0089”, day-care type was “Dialysis”, abridged format used was “Yes — Dialysis Day-Care Form”.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'DC-2026-0089'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Day-Care Type: </w:t>
      </w:r>
      <w:r>
        <w:t>Enter the actual day-care type for this specific entry — real information from what actually happened, not a placeholder. The worked example row below shows 'Dialysis'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Abridged Format Used: </w:t>
      </w:r>
      <w:r>
        <w:t>How this was actually delivered — verbal, written, audio-visual, etc. — matching what really happened. The worked example row below shows 'Yes — Dialysis Day-Care Form'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Completed By: </w:t>
      </w:r>
      <w:r>
        <w:t>Enter the actual completed by for this specific entry — real information from what actually happened, not a placeholder. The worked example row below shows 'Nurse K. Pillai'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Day-Care Type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Abridged Format Used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Completed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DC-2026-0089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Dialysis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 — Dialysis Day-Care Form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Nurse K. Pillai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