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AAC.4.d — Nursing assessment at admission</w:t>
      </w:r>
    </w:p>
    <w:p>
      <w:r>
        <w:rPr>
          <w:b/>
          <w:sz w:val="30"/>
        </w:rPr>
        <w:t>AAC.4 Record 13 — Nursing Assessment Documentation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Documented nursing assessments at admission identifying nursing and special needs. Every time this happens for real, whoever is responsible adds one new row to the table below, filling in: Patient ID, Nursing Needs Identified (Y/N), Special Needs Noted, Completed By.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reviewer fills in a new row every time this specific check is actually carried out against real practice — in this case, that means documented nursing assessments at admission identifying nursing and special needs. The worked example below shows a real entry: patient id was “IP-2026-0142”, nursing needs identified (y/n) was “Yes”, special needs noted was “Fall risk — elderly”.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written guideline that's never checked against real practice is just a document — this record is what proves the rule is actually being followed on the ground, not just on paper.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'IP-2026-0142'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Nursing Needs Identified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Special Needs Noted: </w:t>
      </w:r>
      <w:r>
        <w:t>Enter the actual special needs noted for this specific entry — real information from what actually happened, not a placeholder. The worked example row below shows 'Fall risk — elderly'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Completed By: </w:t>
      </w:r>
      <w:r>
        <w:t>Enter the actual completed by for this specific entry — real information from what actually happened, not a placeholder. The worked example row below shows 'Nurse K. Pillai'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Nursing Needs Identified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Special Needs Noted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Completed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IP-2026-0142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Fall risk — elderly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Nurse K. Pillai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