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AAC.4.e — Documented care plan from in-patient initial assessment</w:t>
      </w:r>
    </w:p>
    <w:p>
      <w:r>
        <w:rPr>
          <w:b/>
          <w:sz w:val="30"/>
        </w:rPr>
        <w:t>AAC.4 Record 16 — Care Plan Elements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care-plan entries for relevant investigations, initial treatment, and specific instructions. Every time this happens for real, whoever is responsible adds one new row to the table below, filling in: Patient ID, Investigations Planned, Initial Treatment, Specific Instructions.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care-plan entries for relevant investigations, initial treatment, and specific instructions. The worked example below shows a real entry: patient id was “IP-2026-0142”, investigations planned was “Troponin, ECG, Echo”, initial treatment was “Aspirin, O2, IV fluids”.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Investigations Planned: </w:t>
      </w:r>
      <w:r>
        <w:t>Enter the actual investigations planned for this specific entry — real information from what actually happened, not a placeholder. The worked example row below shows 'Troponin, ECG, Echo'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Initial Treatment: </w:t>
      </w:r>
      <w:r>
        <w:t>Enter the actual initial treatment for this specific entry — real information from what actually happened, not a placeholder. The worked example row below shows 'Aspirin, O2, IV fluids'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Specific Instructions: </w:t>
      </w:r>
      <w:r>
        <w:t>Enter the actual specific instructions for this specific entry — real information from what actually happened, not a placeholder. The worked example row below shows 'Strict bed rest, cardiac monitor'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Investigations Planned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Initial Treatment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Specific Instructions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Troponin, ECG, Echo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Aspirin, O2, IV fluids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Strict bed rest, cardiac monitor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