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AAC.5.b — Out-patients informed of next follow-up</w:t>
      </w:r>
    </w:p>
    <w:p>
      <w:r>
        <w:rPr>
          <w:b/>
          <w:sz w:val="30"/>
        </w:rPr>
        <w:t>AAC.5 Record 5 — Follow-Up Not Applicable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Sample where follow-up was not applicable, with a brief reason noted. Every time this happens for real, whoever is responsible adds one new row to the table below, filling in: Patient ID, Consultation Date, Reason Follow-Up Not Needed.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sample where follow-up was not applicable, with a brief reason noted. The worked example below shows a real entry: on 10-Jan-2026, patient id was “OP-2026-0350”, reason follow-up not needed was “Came for second opinion only”.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'OP-2026-0350'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Consultation Date: </w:t>
      </w:r>
      <w:r>
        <w:t>Enter the actual consultation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 Follow-Up Not Needed: </w:t>
      </w:r>
      <w:r>
        <w:t>Enter the actual reason follow-up not needed for this specific entry — real information from what actually happened, not a placeholder. The worked example row below shows 'Came for second opinion only'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Consultation 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Reason Follow-Up Not Needed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OP-2026-0350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Came for second opinion only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