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AAC.6.a — Scope commensurate with services</w:t>
      </w:r>
    </w:p>
    <w:p>
      <w:r>
        <w:rPr>
          <w:b/>
          <w:sz w:val="30"/>
        </w:rPr>
        <w:t>AAC.6 Record 3 — Emergency Test Availability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emergency-management tests required by scope are available on premises. Every time this happens for real, whoever is responsible adds one new row to the table below, filling in: Test, Available On Premises (Y/N), Verified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emergency-management tests required by scope are available on premises. The worked example below shows a real entry: test was “Troponin I”, available on premises (y/n) was “Yes”, verified by was “Laboratory In-Charge”.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specific evidence an assessor checks against this requirement — without it, there's no way to show the practice described in the policy is actually happening for real patients.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Test: </w:t>
      </w:r>
      <w:r>
        <w:t>Enter the actual test for this specific entry — real information from what actually happened, not a placeholder. The worked example row below shows 'Troponin 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Available On Premises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Verified By: </w:t>
      </w:r>
      <w:r>
        <w:t>Name of whoever actually did the check — this is the person accountable if the check turns out to be wrong. The worked example row below shows 'Laboratory In-Charge'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Available On Premises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Troponin I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Laboratory In-Charge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