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AAC.6.b — Infrastructure and layout adequate</w:t>
      </w:r>
    </w:p>
    <w:p>
      <w:r>
        <w:rPr>
          <w:b/>
          <w:sz w:val="30"/>
        </w:rPr>
        <w:t>AAC.6 Record 4 — Equipment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Model, serial number, and maintenance schedule link for laboratory equipment. Every time this happens for real, whoever is responsible adds one new row to the table below, filling in: Equipment, Model/Serial, Maintenance Schedule Ref..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model, serial number, and maintenance schedule link for laboratory equipment. The worked example below shows a real entry: equipment was “Auto-analyser”, model/serial was “Model X200 / SN-44210”, maintenance schedule ref. was “MAINT-SCHED-2026”.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Equipment: </w:t>
      </w:r>
      <w:r>
        <w:t>Enter the actual equipment for this specific entry — real information from what actually happened, not a placeholder. The worked example row below shows 'Auto-analyser'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Model/Serial: </w:t>
      </w:r>
      <w:r>
        <w:t>Enter the actual model/serial for this specific entry — real information from what actually happened, not a placeholder. The worked example row below shows 'Model X200 / SN-44210'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Maintenance Schedule Ref.: </w:t>
      </w:r>
      <w:r>
        <w:t>Enter the actual maintenance schedule ref. for this specific entry — real information from what actually happened, not a placeholder. The worked example row below shows 'MAINT-SCHED-2026'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Model/Serial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Maintenance Schedule Ref.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Auto-analyser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Model X200 / SN-44210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MAINT-SCHED-2026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