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AAC.6.i — Recall / amendment mechanism</w:t>
      </w:r>
    </w:p>
    <w:p>
      <w:r>
        <w:rPr>
          <w:b/>
          <w:sz w:val="30"/>
        </w:rPr>
        <w:t>AAC.6 Record 25 — Recall / Amendment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Log of every recalled or amended report with reason and date. Every time this happens for real, whoever is responsible adds one new row to the table below, filling in: Report ID, Reason for Recall/Amendment,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every recalled or amended report with reason and date. The worked example below shows a real entry: on 12-Jan-2026, report id was “LAB-2026-2290”, reason for recall/amendment was “Wrong patient result entered”.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'LAB-2026-2290'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for Recall/Amendment: </w:t>
      </w:r>
      <w:r>
        <w:t>Enter the actual reason for recall/amendment for this specific entry — real information from what actually happened, not a placeholder. The worked example row below shows 'Wrong patient result entered'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for Recall/Amendment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LAB-2026-2290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Wrong patient result entered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