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AAC.7.a — QA programme implemented</w:t>
      </w:r>
    </w:p>
    <w:p>
      <w:r>
        <w:rPr>
          <w:b/>
          <w:sz w:val="30"/>
        </w:rPr>
        <w:t>AAC.7 Record 1 — QA Programme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QA programme covering POCT and pre-/analytic/post-analytic phases. Every time this happens for real, whoever is responsible adds one new row to the table below, filling in: QA Phase, Controls in Place,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documented QA programme covering POCT and pre-/analytic/post-analytic phases. The worked example below shows a real entry: qa phase was “Pre-analytic”, controls in place was “Two-identifier check, specimen rejection criteria”,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QA Phase: </w:t>
      </w:r>
      <w:r>
        <w:t>Enter the actual qa phase for this specific entry — real information from what actually happened, not a placeholder. The worked example row below shows 'Pre-analytic'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Controls in Place: </w:t>
      </w:r>
      <w:r>
        <w:t>Enter the actual controls in place for this specific entry — real information from what actually happened, not a placeholder. The worked example row below shows 'Two-identifier check, specimen rejection criteria'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QA Phase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Controls in Place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Pre-analytic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Two-identifier check, specimen rejection criteria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