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AAC.7.d — Clinico-pathological meetings</w:t>
      </w:r>
    </w:p>
    <w:p>
      <w:r>
        <w:rPr>
          <w:b/>
          <w:sz w:val="30"/>
        </w:rPr>
        <w:t>AAC.7 Record 12 — Follow-Up Action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Follow-up actions linked to quality improvement or CAPA from clinico-pathological meetings. Every time this happens for real, whoever is responsible adds one new row to the table below, filling in: Meeting Date, Action Item, Owner, Status.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follow-up actions linked to quality improvement or CAPA from clinico-pathological meetings. The worked example below shows a real entry: on 20-Jan-2026, owner was “Pathologist”, status was “In progress” — so action item was “Standardise reporting template for biopsy margins”.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Enter the actual meeting date for this specific entry — real information from what actually happened, not a placeholder. The worked example row below shows '20-Jan-2026'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Item: </w:t>
      </w:r>
      <w:r>
        <w:t>Enter the actual action item for this specific entry — real information from what actually happened, not a placeholder. The worked example row below shows 'Standardise reporting template for biopsy margins'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Owner: </w:t>
      </w:r>
      <w:r>
        <w:t>Name of the person accountable for making sure this actually gets done — not a department, an actual person. The worked example row below shows 'Pathologist'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Status: </w:t>
      </w:r>
      <w:r>
        <w:t>Enter the actual status for this specific entry — real information from what actually happened, not a placeholder. The worked example row below shows 'In progress'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Item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Standardise reporting template for biopsy margins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Pathologist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 progress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