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AAC.7.e — Laboratory safety programme implemented</w:t>
      </w:r>
    </w:p>
    <w:p>
      <w:r>
        <w:rPr>
          <w:b/>
          <w:sz w:val="30"/>
        </w:rPr>
        <w:t>AAC.7 Record 14 — MSDS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MSDS set for reagents currently in use. In plain terms: this is the paper trail for 'MSDS Register' — proof of what actually happened, not just what was supposed to happen. Every time this happens for real, whoever is responsible adds one new row to the table below, filling in: Reagent, MSDS Available (Y/N), Location.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MSDS set for reagents currently in use. The worked example below shows a real entry: reagent was “Sulphuric acid (reagent)”, msds available (y/n) was “Yes”, location was “Laboratory MSDS binder, Shelf 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Reagent: </w:t>
      </w:r>
      <w:r>
        <w:t>Enter the actual reagent for this specific entry — real information from what actually happened, not a placeholder. The worked example row below shows 'Sulphuric acid (reagent)' in this column, so you can see the level of detail expected — write your own real entry in that same style, not a copy of the example.</w:t>
      </w:r>
    </w:p>
    <w:p>
      <w:pPr>
        <w:pStyle w:val="ListParagraph"/>
      </w:pPr>
      <w:r>
        <w:rPr>
          <w:b/>
        </w:rPr>
        <w:t xml:space="preserve">MSDS Available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Location: </w:t>
      </w:r>
      <w:r>
        <w:t>Exactly where — specific enough that someone unfamiliar with the building could find it. The worked example row below shows 'Laboratory MSDS binder, Shelf 2'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Reagent</w:t>
            </w:r>
          </w:p>
        </w:tc>
        <w:tc>
          <w:tcPr>
            <w:tcW w:type="dxa" w:w="3227"/>
            <w:shd w:val="clear" w:fill="D9E2F3"/>
          </w:tcPr>
          <w:p>
            <w:r/>
            <w:r>
              <w:rPr>
                <w:b/>
                <w:sz w:val="20"/>
              </w:rPr>
              <w:t>MSDS Available (Y/N)</w:t>
            </w:r>
          </w:p>
        </w:tc>
        <w:tc>
          <w:tcPr>
            <w:tcW w:type="dxa" w:w="3227"/>
            <w:shd w:val="clear" w:fill="D9E2F3"/>
          </w:tcPr>
          <w:p>
            <w:r/>
            <w:r>
              <w:rPr>
                <w:b/>
                <w:sz w:val="20"/>
              </w:rPr>
              <w:t>Location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Sulphuric acid (reagent)</w:t>
            </w:r>
          </w:p>
        </w:tc>
        <w:tc>
          <w:tcPr>
            <w:tcW w:type="dxa" w:w="3227"/>
            <w:shd w:val="clear" w:fill="FFF2CC"/>
          </w:tcPr>
          <w:p>
            <w:r/>
            <w:r>
              <w:rPr>
                <w:b w:val="0"/>
                <w:sz w:val="20"/>
              </w:rPr>
              <w:t>Yes</w:t>
            </w:r>
          </w:p>
        </w:tc>
        <w:tc>
          <w:tcPr>
            <w:tcW w:type="dxa" w:w="3227"/>
            <w:shd w:val="clear" w:fill="FFF2CC"/>
          </w:tcPr>
          <w:p>
            <w:r/>
            <w:r>
              <w:rPr>
                <w:b w:val="0"/>
                <w:sz w:val="20"/>
              </w:rPr>
              <w:t>Laboratory MSDS binder, Shelf 2</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