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AAC.8.d — Qualified performance, supervision and interpretation</w:t>
      </w:r>
    </w:p>
    <w:p>
      <w:r>
        <w:rPr>
          <w:b/>
          <w:sz w:val="30"/>
        </w:rPr>
        <w:t>AAC.8 Record 12 — AERB Guidance Reference Note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Note confirming AERB guidelines are used as reference for radiation-based imaging. Every time this happens for real, whoever is responsible adds one new row to the table below, filling in: Modality, AERB Guideline Referenced,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document owner issues a new version only when the actual guidance genuinely changes, keeping every past version rather than overwriting it — in this case, that means note confirming AERB guidelines are used as reference for radiation-based imaging. The worked example below shows a real entry: modality was “CT Scan”, aerb guideline referenced was “AERB Safety Code for CT”,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written, approved version of this, every staff member ends up doing it their own way, and there's nothing consistent to train new staff against.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Modality: </w:t>
      </w:r>
      <w:r>
        <w:t>Enter the actual modality for this specific entry — real information from what actually happened, not a placeholder. The worked example row below shows 'CT Scan'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AERB Guideline Referenced: </w:t>
      </w:r>
      <w:r>
        <w:t>Enter the actual aerb guideline referenced for this specific entry — real information from what actually happened, not a placeholder. The worked example row below shows 'AERB Safety Code for CT'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Modality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AERB Guideline Referenced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CT Scan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AERB Safety Code for CT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