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COP.10.j — ART services (where in scope)</w:t>
      </w:r>
    </w:p>
    <w:p>
      <w:r>
        <w:rPr>
          <w:b/>
          <w:sz w:val="30"/>
        </w:rPr>
        <w:t>COP.10 Record 12 — ART Infrastructure &amp; Team Record (where ART services are in scope)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ART infrastructure, lab, OT, and competent team including trained counsellors. Every time this happens for real, whoever is responsible adds one new row to the table below, filling in: ART Element, Present/Compliant (Y/N), Notes.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gives the counselling fills this in right after a real session with a real patient or family — in this case, that means ART infrastructure, lab, OT, and competent team including trained counsellors. The worked example below shows a real entry: art element was “ART lab”, present/compliant (y/n) was “Yes”, notes was “Accredited per ICMR ART guidelines”.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decision made for a patient or family without them actually understanding it isn't informed care — this record is the proof real counselling happened, not just that a form was signed.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ART Element: </w:t>
      </w:r>
      <w:r>
        <w:t>Enter the actual art element for this specific entry — real information from what actually happened, not a placeholder. The worked example row below shows 'ART lab'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Present/Compliant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Notes: </w:t>
      </w:r>
      <w:r>
        <w:t>Enter the actual notes for this specific entry — real information from what actually happened, not a placeholder. The worked example row below shows 'Accredited per ICMR ART guidelines'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ART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Present/Compliant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ART lab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Accredited per ICMR ART guidelines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