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COP.12.c/d — Staff competency and role separation (Stop-Work)</w:t>
      </w:r>
    </w:p>
    <w:p>
      <w:r>
        <w:rPr>
          <w:b/>
          <w:sz w:val="30"/>
        </w:rPr>
        <w:t>COP.12 Record 4 — Sedation Administrator &amp; Role-Separation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parenteral sedation is given only by a doctor or supervised nurse — never a technician — and the monitoring role is kept separate from the procedure role. Every time this happens for real, whoever is responsible adds one new row to the table below, filling in: Patient ID, Sedation Given By, Monitoring Person (Different from Proceduralist), Monitor's Airway/Apnoea Training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parenteral sedation is given only by a doctor or supervised nurse — never a technician — and the monitoring role is kept separate from the procedure role. The worked example below shows a real entry: patient id was “IP-2026-0501”, sedation given by was “Dr. S. Rao (doctor)”, monitoring person (different from proceduralist) was “Nurse K. Pillai”.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'IP-2026-0501'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Sedation Given By: </w:t>
      </w:r>
      <w:r>
        <w:t>Name of the staff member who actually did this — the real person, not a department name. The worked example row below shows 'Dr. S. Rao (doctor)'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Monitoring Person (Different from Proceduralist): </w:t>
      </w:r>
      <w:r>
        <w:t>Enter the actual monitoring person (different from proceduralist) for this specific entry — real information from what actually happened, not a placeholder.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Monitor's Airway/Apnoea Training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Sedation Given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Monitoring Person (Different from Proceduralist)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Monitor's Airway/Apnoea Training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IP-2026-0501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Dr. S. Rao (doctor)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