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COP.13.a — Written guidance</w:t>
      </w:r>
    </w:p>
    <w:p>
      <w:r>
        <w:rPr>
          <w:b/>
          <w:sz w:val="30"/>
        </w:rPr>
        <w:t>COP.13 Record 1 — Anaesthesia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guidance documents indications, type of anaesthesia, and procedure; local anaesthesia explicitly excluded.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guidance documents indications, type of anaesthesia, and procedure; local anaesthesia explicitly excluded. The worked example below shows a real entry: guidance element was “Anaesthesia indications and type selection”, document reference was “ANAES-SOP-01, v1.2”,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'Anaesthesia indications and type selection'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'ANAES-SOP-01, v1.2'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Anaesthesia indications and type selection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ANAES-SOP-01, v1.2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