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COP.13.i/j — IPC compliance and adverse events</w:t>
      </w:r>
    </w:p>
    <w:p>
      <w:r>
        <w:rPr>
          <w:b/>
          <w:sz w:val="30"/>
        </w:rPr>
        <w:t>COP.13 Record 11 — Intra-Operative Adverse Anaesthesia Event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Captures organisation-defined adverse anaesthesia events, with CAPA applied. Every time this happens for real, whoever is responsible adds one new row to the table below, filling in: Date, Patient ID, Adverse Event, CAPA Applied.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the finding opens a new row the moment it's confirmed — from an audit, incident or complaint — and closes it only once the fix is actually done — in this case, that means organisation-defined adverse anaesthesia events, with CAPA applied. The worked example below shows a real entry: on 12-Jan-2026, patient id was “IP-2026-0610”, adverse event was “Difficult intubation, delayed 4 min”, capa applied was “Airway cart re-stocked, difficult airway alert added to chart”.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finding without a matching CAPA entry is a problem that was noticed and then dropped — this record is what proves it was actually fixed, and that something was done so it doesn't happen again.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'12-Jan-2026'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'IP-2026-0610'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Adverse Event: </w:t>
      </w:r>
      <w:r>
        <w:t>Enter the actual adverse event for this specific entry — real information from what actually happened, not a placeholder. The worked example row below shows 'Difficult intubation, delayed 4 min'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CAPA Applied: </w:t>
      </w:r>
      <w:r>
        <w:t>Enter the actual capa applied for this specific entry — real information from what actually happened, not a placeholder. The worked example row below shows 'Airway cart re-stocked, difficult airway alert added to chart'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Adverse Event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CAPA Applied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IP-2026-0610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Difficult intubation, delayed 4 min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Airway cart re-stocked, difficult airway alert added to chart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