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COP.15.b — Clinical practice guidelines and care plans</w:t>
      </w:r>
    </w:p>
    <w:p>
      <w:r>
        <w:rPr>
          <w:b/>
          <w:sz w:val="30"/>
        </w:rPr>
        <w:t>COP.15 Record 4 — Individualised Transplant Care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an individualised care plan for each transplant patient, covering pre-transplant, transplant, and discharge phases. Every time this happens for real, whoever is responsible adds one new row to the table below, filling in: Patient ID, Organ, Phase, Care Plan Documented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an individualised care plan for each transplant patient, covering pre-transplant, transplant, and discharge phases. The worked example below shows a real entry: patient id was “TXP-2026-0003”, organ was “Kidney”, phase was “Pre-transplant”.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that's planned by only one person, or never actually written down as a plan, tends to fragment between different clinicians — this record proves the plan was made together and is something the whole team is actually following.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'TXP-2026-0003'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Organ: </w:t>
      </w:r>
      <w:r>
        <w:t>Enter the actual organ for this specific entry — real information from what actually happened, not a placeholder. The worked example row below shows 'Kidney'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Phase: </w:t>
      </w:r>
      <w:r>
        <w:t>Enter the actual phase for this specific entry — real information from what actually happened, not a placeholder. The worked example row below shows 'Pre-transplant'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Plan Documented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Organ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Care Plan Documented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TXP-2026-0003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Kidney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Pre-transplant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