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COP.15.c — Counselling</w:t>
      </w:r>
    </w:p>
    <w:p>
      <w:r>
        <w:rPr>
          <w:b/>
          <w:sz w:val="30"/>
        </w:rPr>
        <w:t>COP.15 Record 5 — Pre-Transplant Counselling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Evidence of counselling in statutory format, confirming it took place before transplantation. Every time this happens for real, whoever is responsible adds one new row to the table below, filling in: Patient ID, Counselling Date, Counselled By, Statutory Format Used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gives the counselling fills this in right after a real session with a real patient or family — in this case, that means evidence of counselling in statutory format, confirming it took place before transplantation. The worked example below shows a real entry: on 10-Jan-2026, patient id was “TXP-2026-0003”, counselled by was “Dr. V. Shah”, statutory format used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decision made for a patient or family without them actually understanding it isn't informed care — this record is the proof real counselling happened, not just that a form was signed.</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'TXP-2026-0003' in this column, so you can see the level of detail expected — write your own real entry in that same style, not a copy of the example.</w:t>
      </w:r>
    </w:p>
    <w:p>
      <w:pPr>
        <w:pStyle w:val="ListParagraph"/>
      </w:pPr>
      <w:r>
        <w:rPr>
          <w:b/>
        </w:rPr>
        <w:t xml:space="preserve">Counselling Date: </w:t>
      </w:r>
      <w:r>
        <w:t>Enter the actual counselling date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Counselled By: </w:t>
      </w:r>
      <w:r>
        <w:t>Name of the staff member who actually did this — the real person, not a department name. The worked example row below shows 'Dr. V. Shah' in this column, so you can see the level of detail expected — write your own real entry in that same style, not a copy of the example.</w:t>
      </w:r>
    </w:p>
    <w:p>
      <w:pPr>
        <w:pStyle w:val="ListParagraph"/>
      </w:pPr>
      <w:r>
        <w:rPr>
          <w:b/>
        </w:rPr>
        <w:t xml:space="preserve">Statutory Format Used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Counselling Date</w:t>
            </w:r>
          </w:p>
        </w:tc>
        <w:tc>
          <w:tcPr>
            <w:tcW w:type="dxa" w:w="2420"/>
            <w:shd w:val="clear" w:fill="D9E2F3"/>
          </w:tcPr>
          <w:p>
            <w:r/>
            <w:r>
              <w:rPr>
                <w:b/>
                <w:sz w:val="20"/>
              </w:rPr>
              <w:t>Counselled By</w:t>
            </w:r>
          </w:p>
        </w:tc>
        <w:tc>
          <w:tcPr>
            <w:tcW w:type="dxa" w:w="2420"/>
            <w:shd w:val="clear" w:fill="D9E2F3"/>
          </w:tcPr>
          <w:p>
            <w:r/>
            <w:r>
              <w:rPr>
                <w:b/>
                <w:sz w:val="20"/>
              </w:rPr>
              <w:t>Statutory Format Used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TXP-2026-0003</w:t>
            </w:r>
          </w:p>
        </w:tc>
        <w:tc>
          <w:tcPr>
            <w:tcW w:type="dxa" w:w="2420"/>
            <w:shd w:val="clear" w:fill="FFF2CC"/>
          </w:tcPr>
          <w:p>
            <w:r/>
            <w:r>
              <w:rPr>
                <w:b w:val="0"/>
                <w:sz w:val="20"/>
              </w:rPr>
              <w:t>10-Jan-2026</w:t>
            </w:r>
          </w:p>
        </w:tc>
        <w:tc>
          <w:tcPr>
            <w:tcW w:type="dxa" w:w="2420"/>
            <w:shd w:val="clear" w:fill="FFF2CC"/>
          </w:tcPr>
          <w:p>
            <w:r/>
            <w:r>
              <w:rPr>
                <w:b w:val="0"/>
                <w:sz w:val="20"/>
              </w:rPr>
              <w:t>Dr. V. Shah</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