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COP.16.e — Restraints (Stop-Work)</w:t>
      </w:r>
    </w:p>
    <w:p>
      <w:r>
        <w:rPr>
          <w:b/>
          <w:sz w:val="30"/>
        </w:rPr>
        <w:t>COP.16 Record 6 — Restraint Guidance — Eight Elements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guidance covers identification criteria, care provision, situations for use, authorisation, monitoring frequency, order validity, reassessment, and least-invasive selection. Every time this happens for real, whoever is responsible adds one new row to the table below, filling in: Guidance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issues a new version only when the actual guidance genuinely changes, keeping every past version rather than overwriting it — in this case, that means guidance covers identification criteria, care provision, situations for use, authorisation, monitoring frequency, order validity, reassessment, and least-invasive selection. The worked example below shows a real entry: guidance element was “Least-invasive restraint selection criteria”, document reference was “RESTRAINT-SOP-01, v1.0”,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clinician ends up applying their own judgement inconsistently, and there's nothing concrete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Element: </w:t>
      </w:r>
      <w:r>
        <w:t>Enter the actual guidance element for this specific entry — real information from what actually happened, not a placeholder. The worked example row below shows 'Least-invasive restraint selection criteria'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'RESTRAINT-SOP-01, v1.0'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Least-invasive restraint selection criteria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RESTRAINT-SOP-01, 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