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COP.2.c — Emergency care and MLC</w:t>
      </w:r>
    </w:p>
    <w:p>
      <w:r>
        <w:rPr>
          <w:b/>
          <w:sz w:val="30"/>
        </w:rPr>
        <w:t>COP.2 Record 8 — MLC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Statutory documentation and intimation record for medico-legal cases, including suspected sexual assault. Every time this happens for real, whoever is responsible adds one new row to the table below, filling in: Date, MLC No., Nature of Case, Police Intimation (Y/N), Sample Storage Confirmed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statutory documentation and intimation record for medico-legal cases, including suspected sexual assault. The worked example below shows a real entry: on 11-Jan-2026, mlc no. was “MLC-2026-0088”, nature of case was “RTA with head injury”, police intimation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MLC No.: </w:t>
      </w:r>
      <w:r>
        <w:t>Enter the actual mlc no. for this specific entry — real information from what actually happened, not a placeholder. The worked example row below shows 'MLC-2026-0088' in this column, so you can see the level of detail expected — write your own real entry in that same style, not a copy of the example.</w:t>
      </w:r>
    </w:p>
    <w:p>
      <w:pPr>
        <w:pStyle w:val="ListParagraph"/>
      </w:pPr>
      <w:r>
        <w:rPr>
          <w:b/>
        </w:rPr>
        <w:t xml:space="preserve">Nature of Case: </w:t>
      </w:r>
      <w:r>
        <w:t>A short, factual account of what actually happened or was found — enough detail that someone reading this later understands the situation without having to ask around. The worked example row below shows 'RTA with head injury' in this column, so you can see the level of detail expected — write your own real entry in that same style, not a copy of the example.</w:t>
      </w:r>
    </w:p>
    <w:p>
      <w:pPr>
        <w:pStyle w:val="ListParagraph"/>
      </w:pPr>
      <w:r>
        <w:rPr>
          <w:b/>
        </w:rPr>
        <w:t xml:space="preserve">Police Intimation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Sample Storage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MLC No.</w:t>
            </w:r>
          </w:p>
        </w:tc>
        <w:tc>
          <w:tcPr>
            <w:tcW w:type="dxa" w:w="1936"/>
            <w:shd w:val="clear" w:fill="D9E2F3"/>
          </w:tcPr>
          <w:p>
            <w:r/>
            <w:r>
              <w:rPr>
                <w:b/>
                <w:sz w:val="20"/>
              </w:rPr>
              <w:t>Nature of Case</w:t>
            </w:r>
          </w:p>
        </w:tc>
        <w:tc>
          <w:tcPr>
            <w:tcW w:type="dxa" w:w="1936"/>
            <w:shd w:val="clear" w:fill="D9E2F3"/>
          </w:tcPr>
          <w:p>
            <w:r/>
            <w:r>
              <w:rPr>
                <w:b/>
                <w:sz w:val="20"/>
              </w:rPr>
              <w:t>Police Intimation (Y/N)</w:t>
            </w:r>
          </w:p>
        </w:tc>
        <w:tc>
          <w:tcPr>
            <w:tcW w:type="dxa" w:w="1936"/>
            <w:shd w:val="clear" w:fill="D9E2F3"/>
          </w:tcPr>
          <w:p>
            <w:r/>
            <w:r>
              <w:rPr>
                <w:b/>
                <w:sz w:val="20"/>
              </w:rPr>
              <w:t>Sample Storage Confirmed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w:t>
            </w:r>
          </w:p>
        </w:tc>
        <w:tc>
          <w:tcPr>
            <w:tcW w:type="dxa" w:w="1936"/>
            <w:shd w:val="clear" w:fill="FFF2CC"/>
          </w:tcPr>
          <w:p>
            <w:r/>
            <w:r>
              <w:rPr>
                <w:b w:val="0"/>
                <w:sz w:val="20"/>
              </w:rPr>
              <w:t>MLC-2026-0088</w:t>
            </w:r>
          </w:p>
        </w:tc>
        <w:tc>
          <w:tcPr>
            <w:tcW w:type="dxa" w:w="1936"/>
            <w:shd w:val="clear" w:fill="FFF2CC"/>
          </w:tcPr>
          <w:p>
            <w:r/>
            <w:r>
              <w:rPr>
                <w:b w:val="0"/>
                <w:sz w:val="20"/>
              </w:rPr>
              <w:t>RTA with head injury</w:t>
            </w:r>
          </w:p>
        </w:tc>
        <w:tc>
          <w:tcPr>
            <w:tcW w:type="dxa" w:w="1936"/>
            <w:shd w:val="clear" w:fill="FFF2CC"/>
          </w:tcPr>
          <w:p>
            <w:r/>
            <w:r>
              <w:rPr>
                <w:b w:val="0"/>
                <w:sz w:val="20"/>
              </w:rPr>
              <w:t>Yes</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