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COP.2.e — Reassessment and documentation of findings</w:t>
      </w:r>
    </w:p>
    <w:p>
      <w:r>
        <w:rPr>
          <w:b/>
          <w:sz w:val="30"/>
        </w:rPr>
        <w:t>COP.2 Record 10 — Triage &amp; Reassessment Documentation Sample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routine triage is applied and reassessment findings are documented in the medical record. Every time this happens for real, whoever is responsible adds one new row to the table below, filling in: Patient ID, Triage Category Assigned, Reassessment Documented (Y/N), Reassessed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routine triage is applied and reassessment findings are documented in the medical record. The worked example below shows a real entry: patient id was “ER-2026-0712”, triage category assigned was “Priority 1 (Emergent)”, reassessment documented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'ER-2026-0712' in this column, so you can see the level of detail expected — write your own real entry in that same style, not a copy of the example.</w:t>
      </w:r>
    </w:p>
    <w:p>
      <w:pPr>
        <w:pStyle w:val="ListParagraph"/>
      </w:pPr>
      <w:r>
        <w:rPr>
          <w:b/>
        </w:rPr>
        <w:t xml:space="preserve">Triage Category Assigned: </w:t>
      </w:r>
      <w:r>
        <w:t>Enter the actual triage category assigned for this specific entry — real information from what actually happened, not a placeholder. The worked example row below shows 'Priority 1 (Emergent)' in this column, so you can see the level of detail expected — write your own real entry in that same style, not a copy of the example.</w:t>
      </w:r>
    </w:p>
    <w:p>
      <w:pPr>
        <w:pStyle w:val="ListParagraph"/>
      </w:pPr>
      <w:r>
        <w:rPr>
          <w:b/>
        </w:rPr>
        <w:t xml:space="preserve">Reassessment 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Reassessed By: </w:t>
      </w:r>
      <w:r>
        <w:t>Enter the actual reassessed by for this specific entry — real information from what actually happened, not a placeholder. The worked example row below shows 'Dr. 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Triage Category Assigned</w:t>
            </w:r>
          </w:p>
        </w:tc>
        <w:tc>
          <w:tcPr>
            <w:tcW w:type="dxa" w:w="2420"/>
            <w:shd w:val="clear" w:fill="D9E2F3"/>
          </w:tcPr>
          <w:p>
            <w:r/>
            <w:r>
              <w:rPr>
                <w:b/>
                <w:sz w:val="20"/>
              </w:rPr>
              <w:t>Reassessment Documented (Y/N)</w:t>
            </w:r>
          </w:p>
        </w:tc>
        <w:tc>
          <w:tcPr>
            <w:tcW w:type="dxa" w:w="2420"/>
            <w:shd w:val="clear" w:fill="D9E2F3"/>
          </w:tcPr>
          <w:p>
            <w:r/>
            <w:r>
              <w:rPr>
                <w:b/>
                <w:sz w:val="20"/>
              </w:rPr>
              <w:t>Reassessed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ER-2026-0712</w:t>
            </w:r>
          </w:p>
        </w:tc>
        <w:tc>
          <w:tcPr>
            <w:tcW w:type="dxa" w:w="2420"/>
            <w:shd w:val="clear" w:fill="FFF2CC"/>
          </w:tcPr>
          <w:p>
            <w:r/>
            <w:r>
              <w:rPr>
                <w:b w:val="0"/>
                <w:sz w:val="20"/>
              </w:rPr>
              <w:t>Priority 1 (Emergent)</w:t>
            </w:r>
          </w:p>
        </w:tc>
        <w:tc>
          <w:tcPr>
            <w:tcW w:type="dxa" w:w="2420"/>
            <w:shd w:val="clear" w:fill="FFF2CC"/>
          </w:tcPr>
          <w:p>
            <w:r/>
            <w:r>
              <w:rPr>
                <w:b w:val="0"/>
                <w:sz w:val="20"/>
              </w:rPr>
              <w:t>Yes</w:t>
            </w:r>
          </w:p>
        </w:tc>
        <w:tc>
          <w:tcPr>
            <w:tcW w:type="dxa" w:w="2420"/>
            <w:shd w:val="clear" w:fill="FFF2CC"/>
          </w:tcPr>
          <w:p>
            <w:r/>
            <w:r>
              <w:rPr>
                <w:b w:val="0"/>
                <w:sz w:val="20"/>
              </w:rPr>
              <w:t>Dr. R. Iyer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