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COP.2.g — Discharge/transfer note content</w:t>
      </w:r>
    </w:p>
    <w:p>
      <w:r>
        <w:rPr>
          <w:b/>
          <w:sz w:val="30"/>
        </w:rPr>
        <w:t>COP.2 Record 12 — Discharge/Transfer Note Content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discharge/transfer notes contain findings, investigations, treatment given, condition, and reason. Every time this happens for real, whoever is responsible adds one new row to the table below, filling in: Patient ID, Findings Present (Y/N), Investigations Listed (Y/N), Treatment Given (Y/N), Reason Stated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discharge/transfer notes contain findings, investigations, treatment given, condition, and reason. The worked example below shows a real entry: patient id was “ER-2026-0712”, findings present (y/n) was “Yes”, investigations listed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procedure that's never checked against real practice is just a document — this record is what proves the procedure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'ER-2026-0712'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Findings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Investigations Listed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Treatment Given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 Stated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Findings Present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Investigations Listed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Treatment Given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 Stated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ER-2026-0712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