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COP.20.d — Unique needs — addressed and respected</w:t>
      </w:r>
    </w:p>
    <w:p>
      <w:r>
        <w:rPr>
          <w:b/>
          <w:sz w:val="30"/>
        </w:rPr>
        <w:t>COP.20 Record 6 — Staff Training on Unique EOL Needs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Training records specific to unique needs of end-of-life patients/families, separate from general EOL training. Every time this happens for real, whoever is responsible adds one new row to the table below, filling in: Staff Name, Training Topic,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HR or the trainer adds a new row right after a real session for real staff actually takes place — never before it happens — in this case, that means training records specific to unique needs of end-of-life patients/families, separate from general EOL training. The worked example below shows a real entry: on 01-Jun-2025, staff name was “Nurse K. Pillai”, training topic was “Cultural &amp; religious sensitivity in EOL care”.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Staff can't be expected to do this safely if they were never actually trained or checked as competent — this record is the proof that happened for real people, not just that a training module exists somewhere.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Staff Name: </w:t>
      </w:r>
      <w:r>
        <w:t>The actual name of the staff member involved. The worked example row below shows 'Nurse K. Pillai'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Training Topic: </w:t>
      </w:r>
      <w:r>
        <w:t>Enter the actual training topic for this specific entry — real information from what actually happened, not a placeholder. The worked example row below shows 'Cultural &amp; religious sensitivity in EOL care'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'01-Jun-2025'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Staff Name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Training Topic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Nurse K. Pillai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Cultural &amp; religious sensitivity in EOL care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01-Jun-2025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