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COP.3.f — Communication</w:t>
      </w:r>
    </w:p>
    <w:p>
      <w:r>
        <w:rPr>
          <w:b/>
          <w:sz w:val="30"/>
        </w:rPr>
        <w:t>COP.3 Record 8 — Ambulance Communication Coverage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wireless/mobile connection between ambulance and control room throughout the transport process. Every time this happens for real, whoever is responsible adds one new row to the table below, filling in: Trip Reference, Connection Type, Coverage Maintained Throughout (Y/N), Notes.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wireless/mobile connection between ambulance and control room throughout the transport process. The worked example below shows a real entry: trip reference was “TRIP-2026-0451”, connection type was “Mobile phone”, coverage maintained throughout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Trip Reference: </w:t>
      </w:r>
      <w:r>
        <w:t>Enter the actual trip reference for this specific entry — real information from what actually happened, not a placeholder. The worked example row below shows 'TRIP-2026-0451'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Connection Type: </w:t>
      </w:r>
      <w:r>
        <w:t>Enter the actual connection type for this specific entry — real information from what actually happened, not a placeholder. The worked example row below shows 'Mobile phone'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Coverage Maintained Throughout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Notes: </w:t>
      </w:r>
      <w:r>
        <w:t>Enter the actual notes for this specific entry — real information from what actually happened, not a placeholder. The worked example row below shows 'N/A'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Trip Reference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Connection Type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Coverage Maintained Throughout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TRIP-2026-0451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Mobile phone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N/A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