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COP.4.b — Documented disaster/community emergency/epidemic plan</w:t>
      </w:r>
    </w:p>
    <w:p>
      <w:r>
        <w:rPr>
          <w:b/>
          <w:sz w:val="30"/>
        </w:rPr>
        <w:t>COP.4 Record 2 — Disaster Plan Content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documented plan contains alert code, communication protocol, action cards, resource earmarking, command nucleus, and training/drill schedule. Every time this happens for real, whoever is responsible adds one new row to the table below, filling in: Plan Element, Present (Y/N), Section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the documented plan contains alert code, communication protocol, action cards, resource earmarking, command nucleus, and training/drill schedule. The worked example below shows a real entry: plan element was “Alert code (Code Yellow/Red etc.)”, present (y/n) was “Yes”, section reference was “Disaster Plan Section 2”.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Plan Element: </w:t>
      </w:r>
      <w:r>
        <w:t>Enter the actual plan element for this specific entry — real information from what actually happened, not a placeholder. The worked example row below shows 'Alert code (Code Yellow/Red etc.)'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Section Reference: </w:t>
      </w:r>
      <w:r>
        <w:t>Enter the actual section reference for this specific entry — real information from what actually happened, not a placeholder. The worked example row below shows 'Disaster Plan Section 2'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Plan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Present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Section Reference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Alert code (Code Yellow/Red etc.)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Disaster Plan Section 2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