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COP.4.c — Medical supplies, equipment and materials</w:t>
      </w:r>
    </w:p>
    <w:p>
      <w:r>
        <w:rPr>
          <w:b/>
          <w:sz w:val="30"/>
        </w:rPr>
        <w:t>COP.4 Record 5 — Disaster Resource Earmarking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medical supplies, equipment, materials, and trained personnel are earmarked according to threat perception and expected workload. Every time this happens for real, whoever is responsible adds one new row to the table below, filling in: Resource Category, Quantity Earmarked, Storage Location, Last Verified.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medical supplies, equipment, materials, and trained personnel are earmarked according to threat perception and expected workload. The worked example below shows a real entry: resource category was “IV fluids (disaster reserve)”, quantity earmarked was “500 units”, storage location was “Central Store, Disaster Cabinet”.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service that's approved on paper but doesn't actually have the equipment or space it needs isn't safe to run — this record proves the real resources are actually in place, not just planned.</w:t>
            </w:r>
          </w:p>
        </w:tc>
      </w:tr>
    </w:tbl>
    <w:p/>
    <w:p>
      <w:r>
        <w:rPr>
          <w:b/>
          <w:sz w:val="22"/>
        </w:rPr>
        <w:t>How to fill this in — column by column</w:t>
      </w:r>
    </w:p>
    <w:p>
      <w:pPr>
        <w:pStyle w:val="ListParagraph"/>
      </w:pPr>
      <w:r>
        <w:rPr>
          <w:b/>
        </w:rPr>
        <w:t xml:space="preserve">Resource Category: </w:t>
      </w:r>
      <w:r>
        <w:t>Enter the actual resource category for this specific entry — real information from what actually happened, not a placeholder. The worked example row below shows 'IV fluids (disaster reserve)' in this column, so you can see the level of detail expected — write your own real entry in that same style, not a copy of the example.</w:t>
      </w:r>
    </w:p>
    <w:p>
      <w:pPr>
        <w:pStyle w:val="ListParagraph"/>
      </w:pPr>
      <w:r>
        <w:rPr>
          <w:b/>
        </w:rPr>
        <w:t xml:space="preserve">Quantity Earmarked: </w:t>
      </w:r>
      <w:r>
        <w:t>Enter the actual quantity earmarked for this specific entry — real information from what actually happened, not a placeholder. The worked example row below shows '500 units' in this column, so you can see the level of detail expected — write your own real entry in that same style, not a copy of the example.</w:t>
      </w:r>
    </w:p>
    <w:p>
      <w:pPr>
        <w:pStyle w:val="ListParagraph"/>
      </w:pPr>
      <w:r>
        <w:rPr>
          <w:b/>
        </w:rPr>
        <w:t xml:space="preserve">Storage Location: </w:t>
      </w:r>
      <w:r>
        <w:t>Exactly where — specific enough that someone unfamiliar with the building could find it. The worked example row below shows 'Central Store, Disaster Cabinet' in this column, so you can see the level of detail expected — write your own real entry in that same style, not a copy of the example.</w:t>
      </w:r>
    </w:p>
    <w:p>
      <w:pPr>
        <w:pStyle w:val="ListParagraph"/>
      </w:pPr>
      <w:r>
        <w:rPr>
          <w:b/>
        </w:rPr>
        <w:t xml:space="preserve">Last Verified: </w:t>
      </w:r>
      <w:r>
        <w:t>Enter the actual last verified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Resource Category</w:t>
            </w:r>
          </w:p>
        </w:tc>
        <w:tc>
          <w:tcPr>
            <w:tcW w:type="dxa" w:w="2420"/>
            <w:shd w:val="clear" w:fill="D9E2F3"/>
          </w:tcPr>
          <w:p>
            <w:r/>
            <w:r>
              <w:rPr>
                <w:b/>
                <w:sz w:val="20"/>
              </w:rPr>
              <w:t>Quantity Earmarked</w:t>
            </w:r>
          </w:p>
        </w:tc>
        <w:tc>
          <w:tcPr>
            <w:tcW w:type="dxa" w:w="2420"/>
            <w:shd w:val="clear" w:fill="D9E2F3"/>
          </w:tcPr>
          <w:p>
            <w:r/>
            <w:r>
              <w:rPr>
                <w:b/>
                <w:sz w:val="20"/>
              </w:rPr>
              <w:t>Storage Location</w:t>
            </w:r>
          </w:p>
        </w:tc>
        <w:tc>
          <w:tcPr>
            <w:tcW w:type="dxa" w:w="2420"/>
            <w:shd w:val="clear" w:fill="D9E2F3"/>
          </w:tcPr>
          <w:p>
            <w:r/>
            <w:r>
              <w:rPr>
                <w:b/>
                <w:sz w:val="20"/>
              </w:rPr>
              <w:t>Last Verified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IV fluids (disaster reserve)</w:t>
            </w:r>
          </w:p>
        </w:tc>
        <w:tc>
          <w:tcPr>
            <w:tcW w:type="dxa" w:w="2420"/>
            <w:shd w:val="clear" w:fill="FFF2CC"/>
          </w:tcPr>
          <w:p>
            <w:r/>
            <w:r>
              <w:rPr>
                <w:b w:val="0"/>
                <w:sz w:val="20"/>
              </w:rPr>
              <w:t>500 units</w:t>
            </w:r>
          </w:p>
        </w:tc>
        <w:tc>
          <w:tcPr>
            <w:tcW w:type="dxa" w:w="2420"/>
            <w:shd w:val="clear" w:fill="FFF2CC"/>
          </w:tcPr>
          <w:p>
            <w:r/>
            <w:r>
              <w:rPr>
                <w:b w:val="0"/>
                <w:sz w:val="20"/>
              </w:rPr>
              <w:t>Central Store, Disaster Cabinet</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