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COP.6.e — Nursing equipment</w:t>
      </w:r>
    </w:p>
    <w:p>
      <w:r>
        <w:rPr>
          <w:b/>
          <w:sz w:val="30"/>
        </w:rPr>
        <w:t>COP.6 Record 7 — Ward Nursing Equipment Adequacy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adequate basic nursing equipment is present in each ward/department appropriate to the patient population. Every time this happens for real, whoever is responsible adds one new row to the table below, filling in: Ward/Department, Equipment, Quantity, Adequate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this updates it the moment the real thing it lists actually changes — in this case, that means adequate basic nursing equipment is present in each ward/department appropriate to the patient population. The worked example below shows a real entry: ward/department was “Paediatric Ward”, equipment was “Paediatric BP cuffs”, quantity was “6”.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list or checklist that exists informally in someone's head isn't something an assessor — or a new staff member — can check against. Writing it down and dating it makes it verifiable.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Ward/Department: </w:t>
      </w:r>
      <w:r>
        <w:t>Which department, ward or area this relates to. The worked example row below shows 'Paediatric Ward'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Equipment: </w:t>
      </w:r>
      <w:r>
        <w:t>Enter the actual equipment for this specific entry — real information from what actually happened, not a placeholder. The worked example row below shows 'Paediatric BP cuffs'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Quantity: </w:t>
      </w:r>
      <w:r>
        <w:t>Enter the actual quantity for this specific entry — real information from what actually happened, not a placeholder. The worked example row below shows '6'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Adequate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Ward/Department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Equipment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Adequate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Paediatric Ward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Paediatric BP cuffs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