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COP.8.d — Transfusion elements, mismatch prevention and HBTC</w:t>
      </w:r>
    </w:p>
    <w:p>
      <w:r>
        <w:rPr>
          <w:b/>
          <w:sz w:val="30"/>
        </w:rPr>
        <w:t>COP.8 Record 12 — HBTC Meeting Minutes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Periodic meetings monitoring blood availability, transfusion practices/audits, adverse reactions, and wastage. Every time this happens for real, whoever is responsible adds one new row to the table below, filling in: Meeting Date, Topics Covered, Key Decisions.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periodic meetings monitoring blood availability, transfusion practices/audits, adverse reactions, and wastage. The worked example below shows a real entry: on 31-Jan-2026, topics covered was “Wastage review, adverse reaction trends”, key decisions was “Revised storage temperature monitoring frequency”.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procedure that's never checked against real practice is just a document — this record is what proves the procedure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actual date this happened — not the date you're filling the form. The worked example row below shows '31-Jan-2026'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Topics Covered: </w:t>
      </w:r>
      <w:r>
        <w:t>Enter the actual topics covered for this specific entry — real information from what actually happened, not a placeholder. The worked example row below shows 'Wastage review, adverse reaction trends'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Key Decisions: </w:t>
      </w:r>
      <w:r>
        <w:t>Enter the actual key decisions for this specific entry — real information from what actually happened, not a placeholder. The worked example row below shows 'Revised storage temperature monitoring frequency'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Topics Covered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Key Decisions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31-Jan-2026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Wastage review, adverse reaction trends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Revised storage temperature monitoring frequency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