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COP.8.f — Adverse reactions and Haemovigilance</w:t>
      </w:r>
    </w:p>
    <w:p>
      <w:r>
        <w:rPr>
          <w:b/>
          <w:sz w:val="30"/>
        </w:rPr>
        <w:t>COP.8 Record 15 — Adverse Transfusion Reaction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Detection, reporting, evaluation, and analysis of suspected adverse transfusion reactions. Every time this happens for real, whoever is responsible adds one new row to the table below, filling in: Patient ID, Reaction Type, Detected By, Reported (Y/N), Evaluated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detection, reporting, evaluation, and analysis of suspected adverse transfusion reactions. The worked example below shows a real entry: patient id was “IP-2026-0350”, reaction type was “Febrile non-haemolytic reaction”, detected by was “Nurse K. Pillai”.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adverse reaction that isn't actually detected, reported and analysed can't be learned from or prevented next time — this record is that proof.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'IP-2026-0350'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Reaction Type: </w:t>
      </w:r>
      <w:r>
        <w:t>Enter the actual reaction type for this specific entry — real information from what actually happened, not a placeholder. The worked example row below shows 'Febrile non-haemolytic reaction'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Detected By: </w:t>
      </w:r>
      <w:r>
        <w:t>Enter the actual detected by for this specific entry — real information from what actually happened, not a placeholder. The worked example row below shows 'Nurse K. Pillai'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Reported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Evaluated By: </w:t>
      </w:r>
      <w:r>
        <w:t>Enter the actual evaluated by for this specific entry — real information from what actually happened, not a placeholder. The worked example row below shows 'Dr. S. Rao'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Reaction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Detected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Evaluated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IP-2026-0350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Febrile non-haemolytic reaction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S. Rao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