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COP.9.b — Admission, transfer, and discharge criteria</w:t>
      </w:r>
    </w:p>
    <w:p>
      <w:r>
        <w:rPr>
          <w:b/>
          <w:sz w:val="30"/>
        </w:rPr>
        <w:t>COP.9 Record 2 — Admission/Transfer/Discharge Criteria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Defined physiologic and/or diagnostic criteria for admission, transfer-in, discharge, and transfer-out. Every time this happens for real, whoever is responsible adds one new row to the table below, filling in: Criterion Type, Defined Parameter, Document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defined physiologic and/or diagnostic criteria for admission, transfer-in, discharge, and transfer-out. The worked example below shows a real entry: criterion type was “ICU Admission”, defined parameter was “SOFA score ≥2, or requiring vasopressor/ventilator support”, document reference was “ICU-ADMIT-CRIT-01”.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Criterion Type: </w:t>
      </w:r>
      <w:r>
        <w:t>Enter the actual criterion type for this specific entry — real information from what actually happened, not a placeholder. The worked example row below shows 'ICU Admission'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Defined Parameter: </w:t>
      </w:r>
      <w:r>
        <w:t>Enter the actual defined parameter for this specific entry — real information from what actually happened, not a placeholder. The worked example row below shows 'SOFA score ≥2, or requiring vasopressor/ventilator support'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'ICU-ADMIT-CRIT-01'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Criterion Type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Defined Parameter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ICU Admission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SOFA score ≥2, or requiring vasopressor/ventilator support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ICU-ADMIT-CRIT-01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