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COP.9.b — Admission, transfer, and discharge criteria</w:t>
      </w:r>
    </w:p>
    <w:p>
      <w:r>
        <w:rPr>
          <w:b/>
          <w:sz w:val="30"/>
        </w:rPr>
        <w:t>COP.9 Record 3 — DAMA Mechanism &amp; Staff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discharge-against-medical-advice mechanism is defined and staff are trained to apply admission/discharge criteria. Every time this happens for real, whoever is responsible adds one new row to the table below, filling in: Staff Name, Trained on Criteria (Y/N), Training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a discharge-against-medical-advice mechanism is defined and staff are trained to apply admission/discharge criteria. The worked example below shows a real entry: on 01-Jun-2025, staff name was “Dr. C. Menon”, trained on criteria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Trained on Criteria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Date: </w:t>
      </w:r>
      <w:r>
        <w:t>Enter the actual training date for this specific entry — real information from what actually happened, not a placeholder.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Trained on Criteria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Training 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