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COP.9.c — Staffing and equipment</w:t>
      </w:r>
    </w:p>
    <w:p>
      <w:r>
        <w:rPr>
          <w:b/>
          <w:sz w:val="30"/>
        </w:rPr>
        <w:t>COP.9 Record 5 — ICU/HDU Staff Competence &amp; Statutory Compliance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staff competence (qualification/training) and compliance with applicable statutory requirements. Every time this happens for real, whoever is responsible adds one new row to the table below, filling in: Staff Name, Qualification, ICU Training, Statutory Compliance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staff competence (qualification/training) and compliance with applicable statutory requirements. The worked example below shows a real entry: staff name was “Dr. C. Menon”, qualification was “MD (Critical Care)”, icu training was “Fellowship in Critical Care”.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Qualification: </w:t>
      </w:r>
      <w:r>
        <w:t>Enter the actual qualification for this specific entry — real information from what actually happened, not a placeholder. The worked example row below shows 'MD (Critical Care)'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ICU Training: </w:t>
      </w:r>
      <w:r>
        <w:t>Enter the actual icu training for this specific entry — real information from what actually happened, not a placeholder. The worked example row below shows 'Fellowship in Critical Care'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Statutory Compliance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ICU Training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Statutory Compliance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MD (Critical Care)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Fellowship in Critical Care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