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FMS.4.a — The organisation plans for utility and engineering equipment in accordance with its services and strategic plan.</w:t>
      </w:r>
    </w:p>
    <w:p>
      <w:r>
        <w:rPr>
          <w:b/>
          <w:sz w:val="30"/>
        </w:rPr>
        <w:t>FMS.4 Record 2 — The organisation plans for utility and engineering equipment in accordance with its services and strategic plan.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“Periodic review record of the plan.” — the specific evidence element The organisation plans for utility and engineering equipment in accordance with its services and strategic plan. of this policy asks for. Every time this happens for real, whoever is responsible adds one new row below with: Review Date, Reviewed By, Finding / Outcome,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utility/engineering equipment is planned, reviewed, or a purchase decision is made jointly. The worked example below shows a real entry: on 15-Jan-2026, reviewed by was “Facility Manager”, next review due was “15-Jan-2027” — so finding / outcome was “Utility/engineering equipment plan reviewed against current services; AHU replacement added to next year's plan”.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bought without real collaboration between finance, engineering and the end-user is exactly how a hospital ends up with the wrong capacity for its actual needs — this record proves the decision was genuinely a joint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Review Date: </w:t>
      </w:r>
      <w:r>
        <w:t>The date this review was actually carried out.</w:t>
      </w:r>
    </w:p>
    <w:p>
      <w:pPr>
        <w:pStyle w:val="ListParagraph"/>
      </w:pPr>
      <w:r>
        <w:rPr>
          <w:b/>
        </w:rPr>
        <w:t xml:space="preserve">Reviewed By: </w:t>
      </w:r>
      <w:r>
        <w:t>Who actually did the review.</w:t>
      </w:r>
    </w:p>
    <w:p>
      <w:pPr>
        <w:pStyle w:val="ListParagraph"/>
      </w:pPr>
      <w:r>
        <w:rPr>
          <w:b/>
        </w:rPr>
        <w:t xml:space="preserve">Finding / Outcome: </w:t>
      </w:r>
      <w:r>
        <w:t>What was found — write the real outcome, even if 'no change needed.'</w:t>
      </w:r>
    </w:p>
    <w:p>
      <w:pPr>
        <w:pStyle w:val="ListParagraph"/>
      </w:pPr>
      <w:r>
        <w:rPr>
          <w:b/>
        </w:rPr>
        <w:t xml:space="preserve">Next Review Due: </w:t>
      </w:r>
      <w:r>
        <w:t>When this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 / Outcome</w:t>
            </w:r>
          </w:p>
        </w:tc>
        <w:tc>
          <w:tcPr>
            <w:tcW w:type="dxa" w:w="2420"/>
            <w:shd w:val="clear" w:fill="D9E2F3"/>
          </w:tcPr>
          <w:p>
            <w:r/>
            <w:r>
              <w:rPr>
                <w:b/>
                <w:sz w:val="20"/>
              </w:rPr>
              <w:t>Next Review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Facility Manager</w:t>
            </w:r>
          </w:p>
        </w:tc>
        <w:tc>
          <w:tcPr>
            <w:tcW w:type="dxa" w:w="2420"/>
            <w:shd w:val="clear" w:fill="FFF2CC"/>
          </w:tcPr>
          <w:p>
            <w:r/>
            <w:r>
              <w:rPr>
                <w:b w:val="0"/>
                <w:sz w:val="20"/>
              </w:rPr>
              <w:t>Utility/engineering equipment plan reviewed against current services; AHU replacement added to next year's plan</w:t>
            </w:r>
          </w:p>
        </w:tc>
        <w:tc>
          <w:tcPr>
            <w:tcW w:type="dxa" w:w="2420"/>
            <w:shd w:val="clear" w:fill="FFF2CC"/>
          </w:tcPr>
          <w:p>
            <w:r/>
            <w:r>
              <w:rPr>
                <w:b w:val="0"/>
                <w:sz w:val="20"/>
              </w:rPr>
              <w:t>15-Jan-2027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