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FMS.4.h — Written guidance supports equipment replacement, identification of unwanted material and disposal.</w:t>
      </w:r>
    </w:p>
    <w:p>
      <w:r>
        <w:rPr>
          <w:b/>
          <w:sz w:val="30"/>
        </w:rPr>
        <w:t>FMS.4 Record 24 — Written guidance supports equipment replacement, identification of unwanted material and disposal.</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“Systematic disposal log.” — the specific evidence element Written guidance supports equipment replacement, identification of unwanted material and disposal. of this policy asks for. Every time this happens for real, whoever is responsible adds one new row below with: Item, Reason for Condemnation, Date, Disposal Method, Signed Off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Engineering In-Charge uses this record whenever utility/engineering equipment is condemned and disposed of. The worked example below shows a real entry: on 18-Jan-2026, item was “Suction apparatus, Ward C (Asset #EQ-0456)”, reason for condemnation was “Beyond economical repair — 3rd motor failure in 12 months”, disposal method was “Sold as scrap via authorised e-waste vendor”.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Equipment or material disposed of with no record is untraceable if something later goes wrong with how it was disposed of — this record closes that gap.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Item: </w:t>
      </w:r>
      <w:r>
        <w:t>The exact item condemned, with its asset number if it has one.</w:t>
      </w:r>
    </w:p>
    <w:p>
      <w:pPr>
        <w:pStyle w:val="ListParagraph"/>
      </w:pPr>
      <w:r>
        <w:rPr>
          <w:b/>
        </w:rPr>
        <w:t xml:space="preserve">Reason for Condemnation: </w:t>
      </w:r>
      <w:r>
        <w:t>The real reason it was condemned — not just 'old.'</w:t>
      </w:r>
    </w:p>
    <w:p>
      <w:pPr>
        <w:pStyle w:val="ListParagraph"/>
      </w:pPr>
      <w:r>
        <w:rPr>
          <w:b/>
        </w:rPr>
        <w:t xml:space="preserve">Date: </w:t>
      </w:r>
      <w:r>
        <w:t>The date this was decided.</w:t>
      </w:r>
    </w:p>
    <w:p>
      <w:pPr>
        <w:pStyle w:val="ListParagraph"/>
      </w:pPr>
      <w:r>
        <w:rPr>
          <w:b/>
        </w:rPr>
        <w:t xml:space="preserve">Disposal Method: </w:t>
      </w:r>
      <w:r>
        <w:t>How it was actually disposed of — name the method/vendor, especially if hazardous-waste rules apply to this item.</w:t>
      </w:r>
    </w:p>
    <w:p>
      <w:pPr>
        <w:pStyle w:val="ListParagraph"/>
      </w:pPr>
      <w:r>
        <w:rPr>
          <w:b/>
        </w:rPr>
        <w:t xml:space="preserve">Signed Off By: </w:t>
      </w:r>
      <w:r>
        <w:t>Who signed off on the condemnation.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Item</w:t>
            </w:r>
          </w:p>
        </w:tc>
        <w:tc>
          <w:tcPr>
            <w:tcW w:type="dxa" w:w="1936"/>
            <w:shd w:val="clear" w:fill="D9E2F3"/>
          </w:tcPr>
          <w:p>
            <w:r/>
            <w:r>
              <w:rPr>
                <w:b/>
                <w:sz w:val="20"/>
              </w:rPr>
              <w:t>Reason for Condemnation</w:t>
            </w:r>
          </w:p>
        </w:tc>
        <w:tc>
          <w:tcPr>
            <w:tcW w:type="dxa" w:w="1936"/>
            <w:shd w:val="clear" w:fill="D9E2F3"/>
          </w:tcPr>
          <w:p>
            <w:r/>
            <w:r>
              <w:rPr>
                <w:b/>
                <w:sz w:val="20"/>
              </w:rPr>
              <w:t>Date</w:t>
            </w:r>
          </w:p>
        </w:tc>
        <w:tc>
          <w:tcPr>
            <w:tcW w:type="dxa" w:w="1936"/>
            <w:shd w:val="clear" w:fill="D9E2F3"/>
          </w:tcPr>
          <w:p>
            <w:r/>
            <w:r>
              <w:rPr>
                <w:b/>
                <w:sz w:val="20"/>
              </w:rPr>
              <w:t>Disposal Method</w:t>
            </w:r>
          </w:p>
        </w:tc>
        <w:tc>
          <w:tcPr>
            <w:tcW w:type="dxa" w:w="1936"/>
            <w:shd w:val="clear" w:fill="D9E2F3"/>
          </w:tcPr>
          <w:p>
            <w:r/>
            <w:r>
              <w:rPr>
                <w:b/>
                <w:sz w:val="20"/>
              </w:rPr>
              <w:t>Signed Off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Suction apparatus, Ward C (Asset #EQ-0456)</w:t>
            </w:r>
          </w:p>
        </w:tc>
        <w:tc>
          <w:tcPr>
            <w:tcW w:type="dxa" w:w="1936"/>
            <w:shd w:val="clear" w:fill="FFF2CC"/>
          </w:tcPr>
          <w:p>
            <w:r/>
            <w:r>
              <w:rPr>
                <w:b w:val="0"/>
                <w:sz w:val="20"/>
              </w:rPr>
              <w:t>Beyond economical repair — 3rd motor failure in 12 months</w:t>
            </w:r>
          </w:p>
        </w:tc>
        <w:tc>
          <w:tcPr>
            <w:tcW w:type="dxa" w:w="1936"/>
            <w:shd w:val="clear" w:fill="FFF2CC"/>
          </w:tcPr>
          <w:p>
            <w:r/>
            <w:r>
              <w:rPr>
                <w:b w:val="0"/>
                <w:sz w:val="20"/>
              </w:rPr>
              <w:t>18-Jan-2026</w:t>
            </w:r>
          </w:p>
        </w:tc>
        <w:tc>
          <w:tcPr>
            <w:tcW w:type="dxa" w:w="1936"/>
            <w:shd w:val="clear" w:fill="FFF2CC"/>
          </w:tcPr>
          <w:p>
            <w:r/>
            <w:r>
              <w:rPr>
                <w:b w:val="0"/>
                <w:sz w:val="20"/>
              </w:rPr>
              <w:t>Sold as scrap via authorised e-waste vendor</w:t>
            </w:r>
          </w:p>
        </w:tc>
        <w:tc>
          <w:tcPr>
            <w:tcW w:type="dxa" w:w="1936"/>
            <w:shd w:val="clear" w:fill="FFF2CC"/>
          </w:tcPr>
          <w:p>
            <w:r/>
            <w:r>
              <w:rPr>
                <w:b w:val="0"/>
                <w:sz w:val="20"/>
              </w:rPr>
              <w:t>Engineering In-Charge</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