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FMS.7.e — There is a maintenance plan for fire-related equipment and infrastructure.</w:t>
      </w:r>
    </w:p>
    <w:p>
      <w:r>
        <w:rPr>
          <w:b/>
          <w:sz w:val="30"/>
        </w:rPr>
        <w:t>FMS.7 Record 13 — There is a maintenance plan for fire-related equipment and infrastructure.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maintenance plan for fire-related equipment and infrastructure.” — the specific evidence element There is a maintenance plan for fire-related equipment and infrastructure. of this policy asks for. Every time this happens for real, whoever is responsible adds one new row below with: Version, Date Approved, Approved By, Covers,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the fire-equipment maintenance plan is written or a real service is carried out. The worked example below shows a real entry: on 10-Jan-2026, version was “v1.0”, approved by was “Facility Manager / Medical Superintendent”, covers was “Maintenance plan for fire-related equipment and infrastructure”.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fire extinguisher or hydrant system that was never actually serviced is discovered empty only during a real fire — this record proves the real service happened, following the manufacturer's and statutory recommendations.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start at v1.0, increase for each revision.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it.</w:t>
      </w:r>
    </w:p>
    <w:p>
      <w:pPr>
        <w:pStyle w:val="ListParagraph"/>
      </w:pPr>
      <w:r>
        <w:rPr>
          <w:b/>
        </w:rPr>
        <w:t xml:space="preserve">Covers: </w:t>
      </w:r>
      <w:r>
        <w:t>What this specific version actually covers — name the equipment/systems, don't write 'all equipment.'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plan is next due for review.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Covers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Facility Manager /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Maintenance plan for fire-related equipment and infrastructure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